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FE4DB" w14:textId="77777777" w:rsidR="00D53064" w:rsidRPr="001F7863" w:rsidRDefault="00D53064" w:rsidP="00E624A5">
      <w:pPr>
        <w:spacing w:before="240" w:line="276" w:lineRule="auto"/>
        <w:ind w:firstLine="0"/>
        <w:contextualSpacing w:val="0"/>
        <w:jc w:val="center"/>
        <w:rPr>
          <w:rFonts w:asciiTheme="minorHAnsi" w:hAnsiTheme="minorHAnsi" w:cstheme="minorHAnsi"/>
          <w:sz w:val="30"/>
          <w:szCs w:val="30"/>
        </w:rPr>
      </w:pPr>
      <w:r w:rsidRPr="001F7863">
        <w:rPr>
          <w:rFonts w:ascii="Liberation Serif" w:hAnsi="Liberation Serif"/>
          <w:noProof/>
          <w:lang w:eastAsia="lt-LT" w:bidi="ar-SA"/>
        </w:rPr>
        <w:drawing>
          <wp:anchor distT="0" distB="0" distL="114300" distR="114300" simplePos="0" relativeHeight="251793408" behindDoc="1" locked="0" layoutInCell="1" allowOverlap="1" wp14:anchorId="6982CF8C" wp14:editId="5A611915">
            <wp:simplePos x="0" y="0"/>
            <wp:positionH relativeFrom="margin">
              <wp:align>center</wp:align>
            </wp:positionH>
            <wp:positionV relativeFrom="paragraph">
              <wp:posOffset>3175</wp:posOffset>
            </wp:positionV>
            <wp:extent cx="704850" cy="791845"/>
            <wp:effectExtent l="0" t="0" r="0" b="8255"/>
            <wp:wrapTopAndBottom/>
            <wp:docPr id="1023476310" name="Picture 1023476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704850" cy="791845"/>
                    </a:xfrm>
                    <a:prstGeom prst="rect">
                      <a:avLst/>
                    </a:prstGeom>
                  </pic:spPr>
                </pic:pic>
              </a:graphicData>
            </a:graphic>
          </wp:anchor>
        </w:drawing>
      </w:r>
      <w:r w:rsidRPr="001F7863">
        <w:rPr>
          <w:rFonts w:asciiTheme="minorHAnsi" w:hAnsiTheme="minorHAnsi" w:cstheme="minorHAnsi"/>
          <w:sz w:val="30"/>
          <w:szCs w:val="30"/>
        </w:rPr>
        <w:t>VILNIAUS UNIVERSITETAS</w:t>
      </w:r>
    </w:p>
    <w:p w14:paraId="62CB7608" w14:textId="77777777" w:rsidR="00D53064" w:rsidRPr="001F7863" w:rsidRDefault="00D53064" w:rsidP="00D53064">
      <w:pPr>
        <w:spacing w:line="276" w:lineRule="auto"/>
        <w:ind w:firstLine="0"/>
        <w:contextualSpacing w:val="0"/>
        <w:jc w:val="center"/>
        <w:rPr>
          <w:rFonts w:asciiTheme="minorHAnsi" w:hAnsiTheme="minorHAnsi" w:cstheme="minorHAnsi"/>
          <w:sz w:val="30"/>
          <w:szCs w:val="30"/>
        </w:rPr>
      </w:pPr>
      <w:r w:rsidRPr="001F7863">
        <w:rPr>
          <w:rFonts w:asciiTheme="minorHAnsi" w:hAnsiTheme="minorHAnsi" w:cstheme="minorHAnsi"/>
          <w:sz w:val="30"/>
          <w:szCs w:val="30"/>
        </w:rPr>
        <w:t>GYVYBĖS MOKSLŲ CENTRAS</w:t>
      </w:r>
    </w:p>
    <w:p w14:paraId="327BEDE5" w14:textId="77777777" w:rsidR="00D53064" w:rsidRPr="001F7863" w:rsidRDefault="00D53064" w:rsidP="00E83C90">
      <w:pPr>
        <w:spacing w:before="840"/>
        <w:ind w:firstLine="0"/>
        <w:contextualSpacing w:val="0"/>
        <w:jc w:val="center"/>
        <w:rPr>
          <w:rFonts w:asciiTheme="minorHAnsi" w:hAnsiTheme="minorHAnsi" w:cstheme="minorHAnsi"/>
          <w:b/>
          <w:bCs/>
          <w:sz w:val="30"/>
          <w:szCs w:val="30"/>
        </w:rPr>
      </w:pPr>
      <w:r w:rsidRPr="001F7863">
        <w:rPr>
          <w:rFonts w:asciiTheme="minorHAnsi" w:hAnsiTheme="minorHAnsi" w:cstheme="minorHAnsi"/>
          <w:b/>
          <w:bCs/>
          <w:sz w:val="30"/>
          <w:szCs w:val="30"/>
        </w:rPr>
        <w:t>Vardas Pavardė</w:t>
      </w:r>
    </w:p>
    <w:p w14:paraId="57622DA0" w14:textId="77777777" w:rsidR="00D53064" w:rsidRPr="00BC7FF4" w:rsidRDefault="00D53064" w:rsidP="00E624A5">
      <w:pPr>
        <w:spacing w:before="720"/>
        <w:ind w:firstLine="0"/>
        <w:contextualSpacing w:val="0"/>
        <w:jc w:val="center"/>
        <w:rPr>
          <w:rFonts w:asciiTheme="minorHAnsi" w:hAnsiTheme="minorHAnsi" w:cstheme="minorHAnsi"/>
          <w:b/>
          <w:bCs/>
          <w:color w:val="7B003F"/>
          <w:sz w:val="34"/>
          <w:szCs w:val="34"/>
        </w:rPr>
      </w:pPr>
      <w:r w:rsidRPr="00BC7FF4">
        <w:rPr>
          <w:rFonts w:asciiTheme="minorHAnsi" w:hAnsiTheme="minorHAnsi" w:cstheme="minorHAnsi"/>
          <w:b/>
          <w:bCs/>
          <w:color w:val="7B003F"/>
          <w:sz w:val="34"/>
          <w:szCs w:val="34"/>
        </w:rPr>
        <w:t>Magistro studijų programos baigiamojo darbo pavadinimas</w:t>
      </w:r>
      <w:r w:rsidR="00E624A5" w:rsidRPr="00BC7FF4">
        <w:rPr>
          <w:rFonts w:asciiTheme="minorHAnsi" w:hAnsiTheme="minorHAnsi" w:cstheme="minorHAnsi"/>
          <w:b/>
          <w:bCs/>
          <w:color w:val="7B003F"/>
          <w:sz w:val="34"/>
          <w:szCs w:val="34"/>
        </w:rPr>
        <w:t xml:space="preserve"> </w:t>
      </w:r>
    </w:p>
    <w:p w14:paraId="6C7D3F3E" w14:textId="77777777" w:rsidR="00D53064" w:rsidRPr="001F7863" w:rsidRDefault="00D53064" w:rsidP="00E624A5">
      <w:pPr>
        <w:spacing w:before="720"/>
        <w:ind w:firstLine="0"/>
        <w:contextualSpacing w:val="0"/>
        <w:jc w:val="center"/>
        <w:rPr>
          <w:rFonts w:asciiTheme="minorHAnsi" w:hAnsiTheme="minorHAnsi" w:cstheme="minorHAnsi"/>
          <w:b/>
          <w:bCs/>
          <w:sz w:val="26"/>
          <w:szCs w:val="26"/>
        </w:rPr>
      </w:pPr>
      <w:r w:rsidRPr="001F7863">
        <w:rPr>
          <w:rFonts w:asciiTheme="minorHAnsi" w:hAnsiTheme="minorHAnsi" w:cstheme="minorHAnsi"/>
          <w:b/>
          <w:bCs/>
          <w:sz w:val="26"/>
          <w:szCs w:val="26"/>
        </w:rPr>
        <w:t>Magistro baigiamasis darbas</w:t>
      </w:r>
    </w:p>
    <w:p w14:paraId="1BF031D9" w14:textId="77777777" w:rsidR="00D53064" w:rsidRPr="001F7863" w:rsidRDefault="00D53064" w:rsidP="00E624A5">
      <w:pPr>
        <w:spacing w:before="240"/>
        <w:ind w:firstLine="0"/>
        <w:contextualSpacing w:val="0"/>
        <w:jc w:val="center"/>
        <w:rPr>
          <w:rFonts w:asciiTheme="minorHAnsi" w:hAnsiTheme="minorHAnsi" w:cstheme="minorHAnsi"/>
          <w:sz w:val="26"/>
          <w:szCs w:val="26"/>
        </w:rPr>
      </w:pPr>
      <w:r w:rsidRPr="001F7863">
        <w:rPr>
          <w:rFonts w:asciiTheme="minorHAnsi" w:hAnsiTheme="minorHAnsi" w:cstheme="minorHAnsi"/>
          <w:sz w:val="26"/>
          <w:szCs w:val="26"/>
        </w:rPr>
        <w:t>Molekulinės biologijos studijų programa</w:t>
      </w:r>
    </w:p>
    <w:p w14:paraId="68B52347" w14:textId="77777777" w:rsidR="00D53064" w:rsidRPr="001F7863" w:rsidRDefault="00D53064" w:rsidP="00E624A5">
      <w:pPr>
        <w:spacing w:before="720"/>
        <w:ind w:left="4820" w:firstLine="0"/>
        <w:contextualSpacing w:val="0"/>
        <w:rPr>
          <w:rFonts w:asciiTheme="minorHAnsi" w:hAnsiTheme="minorHAnsi" w:cstheme="minorHAnsi"/>
          <w:i/>
          <w:iCs/>
        </w:rPr>
      </w:pPr>
      <w:r w:rsidRPr="001F7863">
        <w:rPr>
          <w:rFonts w:asciiTheme="minorHAnsi" w:hAnsiTheme="minorHAnsi" w:cstheme="minorHAnsi"/>
          <w:i/>
          <w:iCs/>
        </w:rPr>
        <w:t>Darbo vadovas</w:t>
      </w:r>
    </w:p>
    <w:p w14:paraId="081745A5" w14:textId="77777777" w:rsidR="00D53064" w:rsidRPr="001F7863" w:rsidRDefault="00D53064" w:rsidP="00E624A5">
      <w:pPr>
        <w:ind w:left="4820" w:firstLine="0"/>
        <w:contextualSpacing w:val="0"/>
        <w:rPr>
          <w:rFonts w:asciiTheme="minorHAnsi" w:hAnsiTheme="minorHAnsi" w:cstheme="minorHAnsi"/>
        </w:rPr>
      </w:pPr>
      <w:r w:rsidRPr="001F7863">
        <w:rPr>
          <w:rFonts w:asciiTheme="minorHAnsi" w:hAnsiTheme="minorHAnsi" w:cstheme="minorHAnsi"/>
        </w:rPr>
        <w:t>Prof. Vienas Vadovas</w:t>
      </w:r>
    </w:p>
    <w:p w14:paraId="7FD77F2A" w14:textId="77777777" w:rsidR="00D53064" w:rsidRPr="001F7863" w:rsidRDefault="00D53064" w:rsidP="00E83C90">
      <w:pPr>
        <w:spacing w:before="360"/>
        <w:ind w:left="4820" w:firstLine="0"/>
        <w:contextualSpacing w:val="0"/>
        <w:rPr>
          <w:rFonts w:asciiTheme="minorHAnsi" w:hAnsiTheme="minorHAnsi" w:cstheme="minorHAnsi"/>
          <w:i/>
          <w:iCs/>
        </w:rPr>
      </w:pPr>
      <w:r w:rsidRPr="001F7863">
        <w:rPr>
          <w:rFonts w:asciiTheme="minorHAnsi" w:hAnsiTheme="minorHAnsi" w:cstheme="minorHAnsi"/>
          <w:i/>
          <w:iCs/>
        </w:rPr>
        <w:t>Konsultantas</w:t>
      </w:r>
    </w:p>
    <w:p w14:paraId="09365F41" w14:textId="77777777" w:rsidR="00D53064" w:rsidRPr="001F7863" w:rsidRDefault="00D53064" w:rsidP="00E624A5">
      <w:pPr>
        <w:ind w:left="4820" w:firstLine="0"/>
        <w:contextualSpacing w:val="0"/>
        <w:rPr>
          <w:rFonts w:asciiTheme="minorHAnsi" w:hAnsiTheme="minorHAnsi" w:cstheme="minorHAnsi"/>
        </w:rPr>
      </w:pPr>
      <w:r w:rsidRPr="001F7863">
        <w:rPr>
          <w:rFonts w:asciiTheme="minorHAnsi" w:hAnsiTheme="minorHAnsi" w:cstheme="minorHAnsi"/>
        </w:rPr>
        <w:t>Dr. Darbo Konsultantas</w:t>
      </w:r>
    </w:p>
    <w:p w14:paraId="05F0F0CC" w14:textId="77777777" w:rsidR="00D53064" w:rsidRPr="001F7863" w:rsidRDefault="00D53064" w:rsidP="00E83C90">
      <w:pPr>
        <w:spacing w:before="360"/>
        <w:ind w:left="4820" w:firstLine="0"/>
        <w:contextualSpacing w:val="0"/>
        <w:rPr>
          <w:rFonts w:asciiTheme="minorHAnsi" w:hAnsiTheme="minorHAnsi" w:cstheme="minorHAnsi"/>
        </w:rPr>
      </w:pPr>
      <w:r w:rsidRPr="001F7863">
        <w:rPr>
          <w:rFonts w:asciiTheme="minorHAnsi" w:hAnsiTheme="minorHAnsi" w:cstheme="minorHAnsi"/>
          <w:i/>
          <w:iCs/>
        </w:rPr>
        <w:t>Darbas</w:t>
      </w:r>
      <w:r w:rsidRPr="001F7863">
        <w:rPr>
          <w:rFonts w:asciiTheme="minorHAnsi" w:hAnsiTheme="minorHAnsi" w:cstheme="minorHAnsi"/>
        </w:rPr>
        <w:t xml:space="preserve"> </w:t>
      </w:r>
      <w:r w:rsidRPr="001F7863">
        <w:rPr>
          <w:rFonts w:asciiTheme="minorHAnsi" w:hAnsiTheme="minorHAnsi" w:cstheme="minorHAnsi"/>
          <w:i/>
          <w:iCs/>
        </w:rPr>
        <w:t>atliktas</w:t>
      </w:r>
    </w:p>
    <w:p w14:paraId="07526DB9" w14:textId="77777777" w:rsidR="00D53064" w:rsidRPr="001F7863" w:rsidRDefault="00D53064" w:rsidP="00D53064">
      <w:pPr>
        <w:spacing w:line="276" w:lineRule="auto"/>
        <w:ind w:left="4819" w:firstLine="0"/>
        <w:contextualSpacing w:val="0"/>
        <w:rPr>
          <w:rFonts w:asciiTheme="minorHAnsi" w:hAnsiTheme="minorHAnsi" w:cstheme="minorHAnsi"/>
        </w:rPr>
      </w:pPr>
      <w:r w:rsidRPr="001F7863">
        <w:rPr>
          <w:rFonts w:asciiTheme="minorHAnsi" w:hAnsiTheme="minorHAnsi" w:cstheme="minorHAnsi"/>
        </w:rPr>
        <w:t xml:space="preserve">GMC </w:t>
      </w:r>
      <w:proofErr w:type="spellStart"/>
      <w:r w:rsidRPr="001F7863">
        <w:rPr>
          <w:rFonts w:asciiTheme="minorHAnsi" w:hAnsiTheme="minorHAnsi" w:cstheme="minorHAnsi"/>
        </w:rPr>
        <w:t>Biomokslų</w:t>
      </w:r>
      <w:proofErr w:type="spellEnd"/>
      <w:r w:rsidRPr="001F7863">
        <w:rPr>
          <w:rFonts w:asciiTheme="minorHAnsi" w:hAnsiTheme="minorHAnsi" w:cstheme="minorHAnsi"/>
        </w:rPr>
        <w:t xml:space="preserve"> instituto Ekologijos ir</w:t>
      </w:r>
    </w:p>
    <w:p w14:paraId="0047FABF" w14:textId="77777777" w:rsidR="00D53064" w:rsidRPr="001F7863" w:rsidRDefault="00D53064" w:rsidP="00D53064">
      <w:pPr>
        <w:spacing w:line="276" w:lineRule="auto"/>
        <w:ind w:left="4819" w:firstLine="0"/>
        <w:contextualSpacing w:val="0"/>
        <w:rPr>
          <w:rFonts w:ascii="Liberation Sans" w:hAnsi="Liberation Sans"/>
        </w:rPr>
      </w:pPr>
      <w:r w:rsidRPr="001F7863">
        <w:rPr>
          <w:rFonts w:asciiTheme="minorHAnsi" w:hAnsiTheme="minorHAnsi" w:cstheme="minorHAnsi"/>
        </w:rPr>
        <w:t>aplinkotyros centre</w:t>
      </w:r>
    </w:p>
    <w:p w14:paraId="646B2F20" w14:textId="77777777" w:rsidR="00AB1710" w:rsidRDefault="00AB1710" w:rsidP="00D22D59">
      <w:r>
        <w:br w:type="page"/>
      </w:r>
    </w:p>
    <w:p w14:paraId="7EFBD23D" w14:textId="77777777" w:rsidR="00791894" w:rsidRPr="00D22D59" w:rsidRDefault="00D22D59" w:rsidP="007675D9">
      <w:pPr>
        <w:pStyle w:val="Heading1"/>
        <w:rPr>
          <w:sz w:val="4"/>
          <w:szCs w:val="4"/>
        </w:rPr>
      </w:pPr>
      <w:r>
        <w:lastRenderedPageBreak/>
        <w:t xml:space="preserve"> </w:t>
      </w:r>
    </w:p>
    <w:sdt>
      <w:sdtPr>
        <w:rPr>
          <w:rFonts w:ascii="Times New Roman" w:eastAsia="Noto Serif CJK SC" w:hAnsi="Times New Roman" w:cs="Noto Sans Devanagari"/>
          <w:b w:val="0"/>
          <w:bCs w:val="0"/>
          <w:sz w:val="24"/>
          <w:szCs w:val="24"/>
        </w:rPr>
        <w:id w:val="-99333829"/>
        <w:docPartObj>
          <w:docPartGallery w:val="Table of Contents"/>
          <w:docPartUnique/>
        </w:docPartObj>
      </w:sdtPr>
      <w:sdtEndPr>
        <w:rPr>
          <w:noProof/>
        </w:rPr>
      </w:sdtEndPr>
      <w:sdtContent>
        <w:p w14:paraId="1DBD60CE" w14:textId="77777777" w:rsidR="00AB1710" w:rsidRDefault="00AB1710" w:rsidP="007675D9">
          <w:pPr>
            <w:pStyle w:val="TOCHeading"/>
          </w:pPr>
          <w:r>
            <w:t>Turinys</w:t>
          </w:r>
        </w:p>
        <w:p w14:paraId="6865C67E" w14:textId="726FFC31" w:rsidR="00397166" w:rsidRDefault="00FF6931">
          <w:pPr>
            <w:pStyle w:val="TOC1"/>
            <w:rPr>
              <w:b w:val="0"/>
              <w:sz w:val="22"/>
              <w:lang w:val="en-US" w:eastAsia="en-US"/>
            </w:rPr>
          </w:pPr>
          <w:r>
            <w:rPr>
              <w:b w:val="0"/>
              <w:bCs/>
            </w:rPr>
            <w:fldChar w:fldCharType="begin"/>
          </w:r>
          <w:r>
            <w:rPr>
              <w:b w:val="0"/>
              <w:bCs/>
            </w:rPr>
            <w:instrText xml:space="preserve"> TOC \o "1-3" \h \z \u </w:instrText>
          </w:r>
          <w:r>
            <w:rPr>
              <w:b w:val="0"/>
              <w:bCs/>
            </w:rPr>
            <w:fldChar w:fldCharType="separate"/>
          </w:r>
          <w:hyperlink w:anchor="_Toc183621358" w:history="1">
            <w:r w:rsidR="00397166" w:rsidRPr="002A4BF8">
              <w:rPr>
                <w:rStyle w:val="Hyperlink"/>
                <w:lang w:bidi="hi-IN"/>
              </w:rPr>
              <w:t>Santrumpos</w:t>
            </w:r>
            <w:r w:rsidR="00397166">
              <w:rPr>
                <w:webHidden/>
              </w:rPr>
              <w:tab/>
            </w:r>
            <w:r w:rsidR="00397166">
              <w:rPr>
                <w:webHidden/>
              </w:rPr>
              <w:fldChar w:fldCharType="begin"/>
            </w:r>
            <w:r w:rsidR="00397166">
              <w:rPr>
                <w:webHidden/>
              </w:rPr>
              <w:instrText xml:space="preserve"> PAGEREF _Toc183621358 \h </w:instrText>
            </w:r>
            <w:r w:rsidR="00397166">
              <w:rPr>
                <w:webHidden/>
              </w:rPr>
            </w:r>
            <w:r w:rsidR="00397166">
              <w:rPr>
                <w:webHidden/>
              </w:rPr>
              <w:fldChar w:fldCharType="separate"/>
            </w:r>
            <w:r w:rsidR="00397166">
              <w:rPr>
                <w:webHidden/>
              </w:rPr>
              <w:t>3</w:t>
            </w:r>
            <w:r w:rsidR="00397166">
              <w:rPr>
                <w:webHidden/>
              </w:rPr>
              <w:fldChar w:fldCharType="end"/>
            </w:r>
          </w:hyperlink>
        </w:p>
        <w:p w14:paraId="237CB694" w14:textId="16508F30" w:rsidR="00397166" w:rsidRDefault="00397166">
          <w:pPr>
            <w:pStyle w:val="TOC1"/>
            <w:rPr>
              <w:b w:val="0"/>
              <w:sz w:val="22"/>
              <w:lang w:val="en-US" w:eastAsia="en-US"/>
            </w:rPr>
          </w:pPr>
          <w:hyperlink w:anchor="_Toc183621359" w:history="1">
            <w:r w:rsidRPr="002A4BF8">
              <w:rPr>
                <w:rStyle w:val="Hyperlink"/>
                <w:lang w:bidi="hi-IN"/>
              </w:rPr>
              <w:t>Įvadas</w:t>
            </w:r>
            <w:r>
              <w:rPr>
                <w:webHidden/>
              </w:rPr>
              <w:tab/>
            </w:r>
            <w:r>
              <w:rPr>
                <w:webHidden/>
              </w:rPr>
              <w:fldChar w:fldCharType="begin"/>
            </w:r>
            <w:r>
              <w:rPr>
                <w:webHidden/>
              </w:rPr>
              <w:instrText xml:space="preserve"> PAGEREF _Toc183621359 \h </w:instrText>
            </w:r>
            <w:r>
              <w:rPr>
                <w:webHidden/>
              </w:rPr>
            </w:r>
            <w:r>
              <w:rPr>
                <w:webHidden/>
              </w:rPr>
              <w:fldChar w:fldCharType="separate"/>
            </w:r>
            <w:r>
              <w:rPr>
                <w:webHidden/>
              </w:rPr>
              <w:t>4</w:t>
            </w:r>
            <w:r>
              <w:rPr>
                <w:webHidden/>
              </w:rPr>
              <w:fldChar w:fldCharType="end"/>
            </w:r>
          </w:hyperlink>
        </w:p>
        <w:p w14:paraId="02750756" w14:textId="6209B6FE" w:rsidR="00397166" w:rsidRDefault="00397166">
          <w:pPr>
            <w:pStyle w:val="TOC1"/>
            <w:rPr>
              <w:b w:val="0"/>
              <w:sz w:val="22"/>
              <w:lang w:val="en-US" w:eastAsia="en-US"/>
            </w:rPr>
          </w:pPr>
          <w:hyperlink w:anchor="_Toc183621360" w:history="1">
            <w:r w:rsidRPr="002A4BF8">
              <w:rPr>
                <w:rStyle w:val="Hyperlink"/>
                <w:lang w:bidi="hi-IN"/>
              </w:rPr>
              <w:t>1.</w:t>
            </w:r>
            <w:r>
              <w:rPr>
                <w:b w:val="0"/>
                <w:sz w:val="22"/>
                <w:lang w:val="en-US" w:eastAsia="en-US"/>
              </w:rPr>
              <w:tab/>
            </w:r>
            <w:r w:rsidRPr="002A4BF8">
              <w:rPr>
                <w:rStyle w:val="Hyperlink"/>
                <w:lang w:bidi="hi-IN"/>
              </w:rPr>
              <w:t>Literatūros apžvalga</w:t>
            </w:r>
            <w:r>
              <w:rPr>
                <w:webHidden/>
              </w:rPr>
              <w:tab/>
            </w:r>
            <w:r>
              <w:rPr>
                <w:webHidden/>
              </w:rPr>
              <w:fldChar w:fldCharType="begin"/>
            </w:r>
            <w:r>
              <w:rPr>
                <w:webHidden/>
              </w:rPr>
              <w:instrText xml:space="preserve"> PAGEREF _Toc183621360 \h </w:instrText>
            </w:r>
            <w:r>
              <w:rPr>
                <w:webHidden/>
              </w:rPr>
            </w:r>
            <w:r>
              <w:rPr>
                <w:webHidden/>
              </w:rPr>
              <w:fldChar w:fldCharType="separate"/>
            </w:r>
            <w:r>
              <w:rPr>
                <w:webHidden/>
              </w:rPr>
              <w:t>5</w:t>
            </w:r>
            <w:r>
              <w:rPr>
                <w:webHidden/>
              </w:rPr>
              <w:fldChar w:fldCharType="end"/>
            </w:r>
          </w:hyperlink>
        </w:p>
        <w:p w14:paraId="5EA7313A" w14:textId="5982F0A8" w:rsidR="00397166" w:rsidRDefault="00397166">
          <w:pPr>
            <w:pStyle w:val="TOC2"/>
            <w:rPr>
              <w:sz w:val="22"/>
              <w:lang w:val="en-US" w:eastAsia="en-US"/>
            </w:rPr>
          </w:pPr>
          <w:hyperlink w:anchor="_Toc183621361" w:history="1">
            <w:r w:rsidRPr="002A4BF8">
              <w:rPr>
                <w:rStyle w:val="Hyperlink"/>
                <w:lang w:bidi="hi-IN"/>
              </w:rPr>
              <w:t>1.1.</w:t>
            </w:r>
            <w:r>
              <w:rPr>
                <w:sz w:val="22"/>
                <w:lang w:val="en-US" w:eastAsia="en-US"/>
              </w:rPr>
              <w:tab/>
            </w:r>
            <w:r w:rsidRPr="002A4BF8">
              <w:rPr>
                <w:rStyle w:val="Hyperlink"/>
                <w:lang w:bidi="hi-IN"/>
              </w:rPr>
              <w:t>Baigiamojo darbo struktūra</w:t>
            </w:r>
            <w:r>
              <w:rPr>
                <w:webHidden/>
              </w:rPr>
              <w:tab/>
            </w:r>
            <w:r>
              <w:rPr>
                <w:webHidden/>
              </w:rPr>
              <w:fldChar w:fldCharType="begin"/>
            </w:r>
            <w:r>
              <w:rPr>
                <w:webHidden/>
              </w:rPr>
              <w:instrText xml:space="preserve"> PAGEREF _Toc183621361 \h </w:instrText>
            </w:r>
            <w:r>
              <w:rPr>
                <w:webHidden/>
              </w:rPr>
            </w:r>
            <w:r>
              <w:rPr>
                <w:webHidden/>
              </w:rPr>
              <w:fldChar w:fldCharType="separate"/>
            </w:r>
            <w:r>
              <w:rPr>
                <w:webHidden/>
              </w:rPr>
              <w:t>5</w:t>
            </w:r>
            <w:r>
              <w:rPr>
                <w:webHidden/>
              </w:rPr>
              <w:fldChar w:fldCharType="end"/>
            </w:r>
          </w:hyperlink>
        </w:p>
        <w:p w14:paraId="4F1866BF" w14:textId="77C0A024" w:rsidR="00397166" w:rsidRDefault="00397166">
          <w:pPr>
            <w:pStyle w:val="TOC2"/>
            <w:rPr>
              <w:sz w:val="22"/>
              <w:lang w:val="en-US" w:eastAsia="en-US"/>
            </w:rPr>
          </w:pPr>
          <w:hyperlink w:anchor="_Toc183621362" w:history="1">
            <w:r w:rsidRPr="002A4BF8">
              <w:rPr>
                <w:rStyle w:val="Hyperlink"/>
                <w:lang w:bidi="hi-IN"/>
              </w:rPr>
              <w:t>1.2.</w:t>
            </w:r>
            <w:r>
              <w:rPr>
                <w:sz w:val="22"/>
                <w:lang w:val="en-US" w:eastAsia="en-US"/>
              </w:rPr>
              <w:tab/>
            </w:r>
            <w:r w:rsidRPr="002A4BF8">
              <w:rPr>
                <w:rStyle w:val="Hyperlink"/>
                <w:lang w:bidi="hi-IN"/>
              </w:rPr>
              <w:t>Antraštinis puslapis</w:t>
            </w:r>
            <w:r>
              <w:rPr>
                <w:webHidden/>
              </w:rPr>
              <w:tab/>
            </w:r>
            <w:r>
              <w:rPr>
                <w:webHidden/>
              </w:rPr>
              <w:fldChar w:fldCharType="begin"/>
            </w:r>
            <w:r>
              <w:rPr>
                <w:webHidden/>
              </w:rPr>
              <w:instrText xml:space="preserve"> PAGEREF _Toc183621362 \h </w:instrText>
            </w:r>
            <w:r>
              <w:rPr>
                <w:webHidden/>
              </w:rPr>
            </w:r>
            <w:r>
              <w:rPr>
                <w:webHidden/>
              </w:rPr>
              <w:fldChar w:fldCharType="separate"/>
            </w:r>
            <w:r>
              <w:rPr>
                <w:webHidden/>
              </w:rPr>
              <w:t>6</w:t>
            </w:r>
            <w:r>
              <w:rPr>
                <w:webHidden/>
              </w:rPr>
              <w:fldChar w:fldCharType="end"/>
            </w:r>
          </w:hyperlink>
        </w:p>
        <w:p w14:paraId="762A94B6" w14:textId="14344A97" w:rsidR="00397166" w:rsidRDefault="00397166">
          <w:pPr>
            <w:pStyle w:val="TOC1"/>
            <w:rPr>
              <w:b w:val="0"/>
              <w:sz w:val="22"/>
              <w:lang w:val="en-US" w:eastAsia="en-US"/>
            </w:rPr>
          </w:pPr>
          <w:hyperlink w:anchor="_Toc183621363" w:history="1">
            <w:r w:rsidRPr="002A4BF8">
              <w:rPr>
                <w:rStyle w:val="Hyperlink"/>
                <w:lang w:bidi="hi-IN"/>
              </w:rPr>
              <w:t>2.</w:t>
            </w:r>
            <w:r>
              <w:rPr>
                <w:b w:val="0"/>
                <w:sz w:val="22"/>
                <w:lang w:val="en-US" w:eastAsia="en-US"/>
              </w:rPr>
              <w:tab/>
            </w:r>
            <w:r w:rsidRPr="002A4BF8">
              <w:rPr>
                <w:rStyle w:val="Hyperlink"/>
                <w:lang w:bidi="hi-IN"/>
              </w:rPr>
              <w:t>Medžiagos ir metodai</w:t>
            </w:r>
            <w:r>
              <w:rPr>
                <w:webHidden/>
              </w:rPr>
              <w:tab/>
            </w:r>
            <w:r>
              <w:rPr>
                <w:webHidden/>
              </w:rPr>
              <w:fldChar w:fldCharType="begin"/>
            </w:r>
            <w:r>
              <w:rPr>
                <w:webHidden/>
              </w:rPr>
              <w:instrText xml:space="preserve"> PAGEREF _Toc183621363 \h </w:instrText>
            </w:r>
            <w:r>
              <w:rPr>
                <w:webHidden/>
              </w:rPr>
            </w:r>
            <w:r>
              <w:rPr>
                <w:webHidden/>
              </w:rPr>
              <w:fldChar w:fldCharType="separate"/>
            </w:r>
            <w:r>
              <w:rPr>
                <w:webHidden/>
              </w:rPr>
              <w:t>7</w:t>
            </w:r>
            <w:r>
              <w:rPr>
                <w:webHidden/>
              </w:rPr>
              <w:fldChar w:fldCharType="end"/>
            </w:r>
          </w:hyperlink>
        </w:p>
        <w:p w14:paraId="5A97F676" w14:textId="4F133AD1" w:rsidR="00397166" w:rsidRDefault="00397166">
          <w:pPr>
            <w:pStyle w:val="TOC2"/>
            <w:rPr>
              <w:sz w:val="22"/>
              <w:lang w:val="en-US" w:eastAsia="en-US"/>
            </w:rPr>
          </w:pPr>
          <w:hyperlink w:anchor="_Toc183621364" w:history="1">
            <w:r w:rsidRPr="002A4BF8">
              <w:rPr>
                <w:rStyle w:val="Hyperlink"/>
                <w:lang w:bidi="hi-IN"/>
              </w:rPr>
              <w:t>2.1.</w:t>
            </w:r>
            <w:r>
              <w:rPr>
                <w:sz w:val="22"/>
                <w:lang w:val="en-US" w:eastAsia="en-US"/>
              </w:rPr>
              <w:tab/>
            </w:r>
            <w:r w:rsidRPr="002A4BF8">
              <w:rPr>
                <w:rStyle w:val="Hyperlink"/>
                <w:lang w:bidi="hi-IN"/>
              </w:rPr>
              <w:t>Medžiagos</w:t>
            </w:r>
            <w:r>
              <w:rPr>
                <w:webHidden/>
              </w:rPr>
              <w:tab/>
            </w:r>
            <w:r>
              <w:rPr>
                <w:webHidden/>
              </w:rPr>
              <w:fldChar w:fldCharType="begin"/>
            </w:r>
            <w:r>
              <w:rPr>
                <w:webHidden/>
              </w:rPr>
              <w:instrText xml:space="preserve"> PAGEREF _Toc183621364 \h </w:instrText>
            </w:r>
            <w:r>
              <w:rPr>
                <w:webHidden/>
              </w:rPr>
            </w:r>
            <w:r>
              <w:rPr>
                <w:webHidden/>
              </w:rPr>
              <w:fldChar w:fldCharType="separate"/>
            </w:r>
            <w:r>
              <w:rPr>
                <w:webHidden/>
              </w:rPr>
              <w:t>7</w:t>
            </w:r>
            <w:r>
              <w:rPr>
                <w:webHidden/>
              </w:rPr>
              <w:fldChar w:fldCharType="end"/>
            </w:r>
          </w:hyperlink>
        </w:p>
        <w:p w14:paraId="12D6FFE3" w14:textId="730ED82E" w:rsidR="00397166" w:rsidRDefault="00397166">
          <w:pPr>
            <w:pStyle w:val="TOC2"/>
            <w:rPr>
              <w:sz w:val="22"/>
              <w:lang w:val="en-US" w:eastAsia="en-US"/>
            </w:rPr>
          </w:pPr>
          <w:hyperlink w:anchor="_Toc183621365" w:history="1">
            <w:r w:rsidRPr="002A4BF8">
              <w:rPr>
                <w:rStyle w:val="Hyperlink"/>
                <w:lang w:bidi="hi-IN"/>
              </w:rPr>
              <w:t>2.2.</w:t>
            </w:r>
            <w:r>
              <w:rPr>
                <w:sz w:val="22"/>
                <w:lang w:val="en-US" w:eastAsia="en-US"/>
              </w:rPr>
              <w:tab/>
            </w:r>
            <w:r w:rsidRPr="002A4BF8">
              <w:rPr>
                <w:rStyle w:val="Hyperlink"/>
                <w:lang w:bidi="hi-IN"/>
              </w:rPr>
              <w:t>Metodai</w:t>
            </w:r>
            <w:r>
              <w:rPr>
                <w:webHidden/>
              </w:rPr>
              <w:tab/>
            </w:r>
            <w:r>
              <w:rPr>
                <w:webHidden/>
              </w:rPr>
              <w:fldChar w:fldCharType="begin"/>
            </w:r>
            <w:r>
              <w:rPr>
                <w:webHidden/>
              </w:rPr>
              <w:instrText xml:space="preserve"> PAGEREF _Toc183621365 \h </w:instrText>
            </w:r>
            <w:r>
              <w:rPr>
                <w:webHidden/>
              </w:rPr>
            </w:r>
            <w:r>
              <w:rPr>
                <w:webHidden/>
              </w:rPr>
              <w:fldChar w:fldCharType="separate"/>
            </w:r>
            <w:r>
              <w:rPr>
                <w:webHidden/>
              </w:rPr>
              <w:t>7</w:t>
            </w:r>
            <w:r>
              <w:rPr>
                <w:webHidden/>
              </w:rPr>
              <w:fldChar w:fldCharType="end"/>
            </w:r>
          </w:hyperlink>
        </w:p>
        <w:p w14:paraId="5D2353F9" w14:textId="4C99D70C" w:rsidR="00397166" w:rsidRDefault="00397166">
          <w:pPr>
            <w:pStyle w:val="TOC1"/>
            <w:rPr>
              <w:b w:val="0"/>
              <w:sz w:val="22"/>
              <w:lang w:val="en-US" w:eastAsia="en-US"/>
            </w:rPr>
          </w:pPr>
          <w:hyperlink w:anchor="_Toc183621366" w:history="1">
            <w:r w:rsidRPr="002A4BF8">
              <w:rPr>
                <w:rStyle w:val="Hyperlink"/>
                <w:lang w:bidi="hi-IN"/>
              </w:rPr>
              <w:t>3.</w:t>
            </w:r>
            <w:r>
              <w:rPr>
                <w:b w:val="0"/>
                <w:sz w:val="22"/>
                <w:lang w:val="en-US" w:eastAsia="en-US"/>
              </w:rPr>
              <w:tab/>
            </w:r>
            <w:r w:rsidRPr="002A4BF8">
              <w:rPr>
                <w:rStyle w:val="Hyperlink"/>
                <w:lang w:bidi="hi-IN"/>
              </w:rPr>
              <w:t>Rezultatai</w:t>
            </w:r>
            <w:r>
              <w:rPr>
                <w:webHidden/>
              </w:rPr>
              <w:tab/>
            </w:r>
            <w:r>
              <w:rPr>
                <w:webHidden/>
              </w:rPr>
              <w:fldChar w:fldCharType="begin"/>
            </w:r>
            <w:r>
              <w:rPr>
                <w:webHidden/>
              </w:rPr>
              <w:instrText xml:space="preserve"> PAGEREF _Toc183621366 \h </w:instrText>
            </w:r>
            <w:r>
              <w:rPr>
                <w:webHidden/>
              </w:rPr>
            </w:r>
            <w:r>
              <w:rPr>
                <w:webHidden/>
              </w:rPr>
              <w:fldChar w:fldCharType="separate"/>
            </w:r>
            <w:r>
              <w:rPr>
                <w:webHidden/>
              </w:rPr>
              <w:t>9</w:t>
            </w:r>
            <w:r>
              <w:rPr>
                <w:webHidden/>
              </w:rPr>
              <w:fldChar w:fldCharType="end"/>
            </w:r>
          </w:hyperlink>
        </w:p>
        <w:p w14:paraId="2F594D40" w14:textId="2FF925E1" w:rsidR="00397166" w:rsidRDefault="00397166">
          <w:pPr>
            <w:pStyle w:val="TOC2"/>
            <w:rPr>
              <w:sz w:val="22"/>
              <w:lang w:val="en-US" w:eastAsia="en-US"/>
            </w:rPr>
          </w:pPr>
          <w:hyperlink w:anchor="_Toc183621367" w:history="1">
            <w:r w:rsidRPr="002A4BF8">
              <w:rPr>
                <w:rStyle w:val="Hyperlink"/>
                <w:lang w:bidi="hi-IN"/>
              </w:rPr>
              <w:t>3.1.</w:t>
            </w:r>
            <w:r>
              <w:rPr>
                <w:sz w:val="22"/>
                <w:lang w:val="en-US" w:eastAsia="en-US"/>
              </w:rPr>
              <w:tab/>
            </w:r>
            <w:r w:rsidRPr="002A4BF8">
              <w:rPr>
                <w:rStyle w:val="Hyperlink"/>
                <w:lang w:bidi="hi-IN"/>
              </w:rPr>
              <w:t>Bendrosios nuostatos</w:t>
            </w:r>
            <w:r>
              <w:rPr>
                <w:webHidden/>
              </w:rPr>
              <w:tab/>
            </w:r>
            <w:r>
              <w:rPr>
                <w:webHidden/>
              </w:rPr>
              <w:fldChar w:fldCharType="begin"/>
            </w:r>
            <w:r>
              <w:rPr>
                <w:webHidden/>
              </w:rPr>
              <w:instrText xml:space="preserve"> PAGEREF _Toc183621367 \h </w:instrText>
            </w:r>
            <w:r>
              <w:rPr>
                <w:webHidden/>
              </w:rPr>
            </w:r>
            <w:r>
              <w:rPr>
                <w:webHidden/>
              </w:rPr>
              <w:fldChar w:fldCharType="separate"/>
            </w:r>
            <w:r>
              <w:rPr>
                <w:webHidden/>
              </w:rPr>
              <w:t>9</w:t>
            </w:r>
            <w:r>
              <w:rPr>
                <w:webHidden/>
              </w:rPr>
              <w:fldChar w:fldCharType="end"/>
            </w:r>
          </w:hyperlink>
        </w:p>
        <w:p w14:paraId="0FF56945" w14:textId="0F718F95" w:rsidR="00397166" w:rsidRDefault="00397166">
          <w:pPr>
            <w:pStyle w:val="TOC2"/>
            <w:rPr>
              <w:sz w:val="22"/>
              <w:lang w:val="en-US" w:eastAsia="en-US"/>
            </w:rPr>
          </w:pPr>
          <w:hyperlink w:anchor="_Toc183621368" w:history="1">
            <w:r w:rsidRPr="002A4BF8">
              <w:rPr>
                <w:rStyle w:val="Hyperlink"/>
                <w:lang w:bidi="hi-IN"/>
              </w:rPr>
              <w:t>3.2.</w:t>
            </w:r>
            <w:r>
              <w:rPr>
                <w:sz w:val="22"/>
                <w:lang w:val="en-US" w:eastAsia="en-US"/>
              </w:rPr>
              <w:tab/>
            </w:r>
            <w:r w:rsidRPr="002A4BF8">
              <w:rPr>
                <w:rStyle w:val="Hyperlink"/>
                <w:lang w:bidi="hi-IN"/>
              </w:rPr>
              <w:t>Darbo kalba</w:t>
            </w:r>
            <w:r>
              <w:rPr>
                <w:webHidden/>
              </w:rPr>
              <w:tab/>
            </w:r>
            <w:r>
              <w:rPr>
                <w:webHidden/>
              </w:rPr>
              <w:fldChar w:fldCharType="begin"/>
            </w:r>
            <w:r>
              <w:rPr>
                <w:webHidden/>
              </w:rPr>
              <w:instrText xml:space="preserve"> PAGEREF _Toc183621368 \h </w:instrText>
            </w:r>
            <w:r>
              <w:rPr>
                <w:webHidden/>
              </w:rPr>
            </w:r>
            <w:r>
              <w:rPr>
                <w:webHidden/>
              </w:rPr>
              <w:fldChar w:fldCharType="separate"/>
            </w:r>
            <w:r>
              <w:rPr>
                <w:webHidden/>
              </w:rPr>
              <w:t>10</w:t>
            </w:r>
            <w:r>
              <w:rPr>
                <w:webHidden/>
              </w:rPr>
              <w:fldChar w:fldCharType="end"/>
            </w:r>
          </w:hyperlink>
        </w:p>
        <w:p w14:paraId="54D42773" w14:textId="216F40A8" w:rsidR="00397166" w:rsidRDefault="00397166">
          <w:pPr>
            <w:pStyle w:val="TOC2"/>
            <w:rPr>
              <w:sz w:val="22"/>
              <w:lang w:val="en-US" w:eastAsia="en-US"/>
            </w:rPr>
          </w:pPr>
          <w:hyperlink w:anchor="_Toc183621369" w:history="1">
            <w:r w:rsidRPr="002A4BF8">
              <w:rPr>
                <w:rStyle w:val="Hyperlink"/>
                <w:lang w:bidi="hi-IN"/>
              </w:rPr>
              <w:t>3.3.</w:t>
            </w:r>
            <w:r>
              <w:rPr>
                <w:sz w:val="22"/>
                <w:lang w:val="en-US" w:eastAsia="en-US"/>
              </w:rPr>
              <w:tab/>
            </w:r>
            <w:r w:rsidRPr="002A4BF8">
              <w:rPr>
                <w:rStyle w:val="Hyperlink"/>
                <w:lang w:bidi="hi-IN"/>
              </w:rPr>
              <w:t>Lentelės ir paveikslai</w:t>
            </w:r>
            <w:r>
              <w:rPr>
                <w:webHidden/>
              </w:rPr>
              <w:tab/>
            </w:r>
            <w:r>
              <w:rPr>
                <w:webHidden/>
              </w:rPr>
              <w:fldChar w:fldCharType="begin"/>
            </w:r>
            <w:r>
              <w:rPr>
                <w:webHidden/>
              </w:rPr>
              <w:instrText xml:space="preserve"> PAGEREF _Toc183621369 \h </w:instrText>
            </w:r>
            <w:r>
              <w:rPr>
                <w:webHidden/>
              </w:rPr>
            </w:r>
            <w:r>
              <w:rPr>
                <w:webHidden/>
              </w:rPr>
              <w:fldChar w:fldCharType="separate"/>
            </w:r>
            <w:r>
              <w:rPr>
                <w:webHidden/>
              </w:rPr>
              <w:t>11</w:t>
            </w:r>
            <w:r>
              <w:rPr>
                <w:webHidden/>
              </w:rPr>
              <w:fldChar w:fldCharType="end"/>
            </w:r>
          </w:hyperlink>
        </w:p>
        <w:p w14:paraId="69FA4722" w14:textId="0E621BC2" w:rsidR="00397166" w:rsidRDefault="00397166">
          <w:pPr>
            <w:pStyle w:val="TOC1"/>
            <w:rPr>
              <w:b w:val="0"/>
              <w:sz w:val="22"/>
              <w:lang w:val="en-US" w:eastAsia="en-US"/>
            </w:rPr>
          </w:pPr>
          <w:hyperlink w:anchor="_Toc183621370" w:history="1">
            <w:r w:rsidRPr="002A4BF8">
              <w:rPr>
                <w:rStyle w:val="Hyperlink"/>
                <w:lang w:bidi="hi-IN"/>
              </w:rPr>
              <w:t>Išvados</w:t>
            </w:r>
            <w:r>
              <w:rPr>
                <w:webHidden/>
              </w:rPr>
              <w:tab/>
            </w:r>
            <w:r>
              <w:rPr>
                <w:webHidden/>
              </w:rPr>
              <w:fldChar w:fldCharType="begin"/>
            </w:r>
            <w:r>
              <w:rPr>
                <w:webHidden/>
              </w:rPr>
              <w:instrText xml:space="preserve"> PAGEREF _Toc183621370 \h </w:instrText>
            </w:r>
            <w:r>
              <w:rPr>
                <w:webHidden/>
              </w:rPr>
            </w:r>
            <w:r>
              <w:rPr>
                <w:webHidden/>
              </w:rPr>
              <w:fldChar w:fldCharType="separate"/>
            </w:r>
            <w:r>
              <w:rPr>
                <w:webHidden/>
              </w:rPr>
              <w:t>15</w:t>
            </w:r>
            <w:r>
              <w:rPr>
                <w:webHidden/>
              </w:rPr>
              <w:fldChar w:fldCharType="end"/>
            </w:r>
          </w:hyperlink>
        </w:p>
        <w:p w14:paraId="4187D3D2" w14:textId="3C6466EB" w:rsidR="00397166" w:rsidRDefault="00397166">
          <w:pPr>
            <w:pStyle w:val="TOC1"/>
            <w:rPr>
              <w:b w:val="0"/>
              <w:sz w:val="22"/>
              <w:lang w:val="en-US" w:eastAsia="en-US"/>
            </w:rPr>
          </w:pPr>
          <w:hyperlink w:anchor="_Toc183621371" w:history="1">
            <w:r w:rsidRPr="002A4BF8">
              <w:rPr>
                <w:rStyle w:val="Hyperlink"/>
                <w:lang w:bidi="hi-IN"/>
              </w:rPr>
              <w:t>Santrauka</w:t>
            </w:r>
            <w:r>
              <w:rPr>
                <w:webHidden/>
              </w:rPr>
              <w:tab/>
            </w:r>
            <w:r>
              <w:rPr>
                <w:webHidden/>
              </w:rPr>
              <w:fldChar w:fldCharType="begin"/>
            </w:r>
            <w:r>
              <w:rPr>
                <w:webHidden/>
              </w:rPr>
              <w:instrText xml:space="preserve"> PAGEREF _Toc183621371 \h </w:instrText>
            </w:r>
            <w:r>
              <w:rPr>
                <w:webHidden/>
              </w:rPr>
            </w:r>
            <w:r>
              <w:rPr>
                <w:webHidden/>
              </w:rPr>
              <w:fldChar w:fldCharType="separate"/>
            </w:r>
            <w:r>
              <w:rPr>
                <w:webHidden/>
              </w:rPr>
              <w:t>16</w:t>
            </w:r>
            <w:r>
              <w:rPr>
                <w:webHidden/>
              </w:rPr>
              <w:fldChar w:fldCharType="end"/>
            </w:r>
          </w:hyperlink>
        </w:p>
        <w:p w14:paraId="12D5EB6B" w14:textId="7E9804E9" w:rsidR="00397166" w:rsidRDefault="00397166">
          <w:pPr>
            <w:pStyle w:val="TOC1"/>
            <w:rPr>
              <w:b w:val="0"/>
              <w:sz w:val="22"/>
              <w:lang w:val="en-US" w:eastAsia="en-US"/>
            </w:rPr>
          </w:pPr>
          <w:hyperlink w:anchor="_Toc183621372" w:history="1">
            <w:r w:rsidRPr="002A4BF8">
              <w:rPr>
                <w:rStyle w:val="Hyperlink"/>
                <w:lang w:bidi="hi-IN"/>
              </w:rPr>
              <w:t>Abstract</w:t>
            </w:r>
            <w:r>
              <w:rPr>
                <w:webHidden/>
              </w:rPr>
              <w:tab/>
            </w:r>
            <w:r>
              <w:rPr>
                <w:webHidden/>
              </w:rPr>
              <w:fldChar w:fldCharType="begin"/>
            </w:r>
            <w:r>
              <w:rPr>
                <w:webHidden/>
              </w:rPr>
              <w:instrText xml:space="preserve"> PAGEREF _Toc183621372 \h </w:instrText>
            </w:r>
            <w:r>
              <w:rPr>
                <w:webHidden/>
              </w:rPr>
            </w:r>
            <w:r>
              <w:rPr>
                <w:webHidden/>
              </w:rPr>
              <w:fldChar w:fldCharType="separate"/>
            </w:r>
            <w:r>
              <w:rPr>
                <w:webHidden/>
              </w:rPr>
              <w:t>17</w:t>
            </w:r>
            <w:r>
              <w:rPr>
                <w:webHidden/>
              </w:rPr>
              <w:fldChar w:fldCharType="end"/>
            </w:r>
          </w:hyperlink>
        </w:p>
        <w:p w14:paraId="33B53054" w14:textId="1526ECB4" w:rsidR="00397166" w:rsidRDefault="00397166">
          <w:pPr>
            <w:pStyle w:val="TOC1"/>
            <w:rPr>
              <w:b w:val="0"/>
              <w:sz w:val="22"/>
              <w:lang w:val="en-US" w:eastAsia="en-US"/>
            </w:rPr>
          </w:pPr>
          <w:hyperlink w:anchor="_Toc183621373" w:history="1">
            <w:r w:rsidRPr="002A4BF8">
              <w:rPr>
                <w:rStyle w:val="Hyperlink"/>
                <w:lang w:bidi="hi-IN"/>
              </w:rPr>
              <w:t>Literatūros sąrašas</w:t>
            </w:r>
            <w:r>
              <w:rPr>
                <w:webHidden/>
              </w:rPr>
              <w:tab/>
            </w:r>
            <w:r>
              <w:rPr>
                <w:webHidden/>
              </w:rPr>
              <w:fldChar w:fldCharType="begin"/>
            </w:r>
            <w:r>
              <w:rPr>
                <w:webHidden/>
              </w:rPr>
              <w:instrText xml:space="preserve"> PAGEREF _Toc183621373 \h </w:instrText>
            </w:r>
            <w:r>
              <w:rPr>
                <w:webHidden/>
              </w:rPr>
            </w:r>
            <w:r>
              <w:rPr>
                <w:webHidden/>
              </w:rPr>
              <w:fldChar w:fldCharType="separate"/>
            </w:r>
            <w:r>
              <w:rPr>
                <w:webHidden/>
              </w:rPr>
              <w:t>18</w:t>
            </w:r>
            <w:r>
              <w:rPr>
                <w:webHidden/>
              </w:rPr>
              <w:fldChar w:fldCharType="end"/>
            </w:r>
          </w:hyperlink>
        </w:p>
        <w:p w14:paraId="07971E27" w14:textId="490BD2CB" w:rsidR="00AB1710" w:rsidRDefault="00FF6931" w:rsidP="00D22D59">
          <w:pPr>
            <w:ind w:firstLine="0"/>
          </w:pPr>
          <w:r>
            <w:rPr>
              <w:rFonts w:asciiTheme="minorHAnsi" w:eastAsiaTheme="minorEastAsia" w:hAnsiTheme="minorHAnsi" w:cstheme="minorBidi"/>
              <w:b/>
              <w:bCs/>
              <w:noProof/>
              <w:kern w:val="0"/>
              <w:szCs w:val="22"/>
              <w:lang w:eastAsia="lt-LT" w:bidi="ar-SA"/>
            </w:rPr>
            <w:fldChar w:fldCharType="end"/>
          </w:r>
        </w:p>
      </w:sdtContent>
    </w:sdt>
    <w:p w14:paraId="4B6C6F52" w14:textId="77777777" w:rsidR="00791894" w:rsidRDefault="00791894" w:rsidP="00D22D59"/>
    <w:p w14:paraId="19F77CA0" w14:textId="77777777" w:rsidR="00791894" w:rsidRDefault="001B7FDE" w:rsidP="00D22D59">
      <w:r>
        <w:br w:type="page"/>
      </w:r>
    </w:p>
    <w:p w14:paraId="4674C5D0" w14:textId="77777777" w:rsidR="00791894" w:rsidRDefault="001B7FDE" w:rsidP="007675D9">
      <w:pPr>
        <w:pStyle w:val="Heading1"/>
      </w:pPr>
      <w:bookmarkStart w:id="0" w:name="_Toc183621358"/>
      <w:r>
        <w:lastRenderedPageBreak/>
        <w:t>Santrumpos</w:t>
      </w:r>
      <w:bookmarkEnd w:id="0"/>
    </w:p>
    <w:p w14:paraId="08D5A58A" w14:textId="77777777" w:rsidR="00AB1710" w:rsidRDefault="00AB1710" w:rsidP="00D22D59">
      <w:r>
        <w:t xml:space="preserve">GMC – </w:t>
      </w:r>
      <w:r w:rsidRPr="00D22D59">
        <w:t>Gyvybės</w:t>
      </w:r>
      <w:r>
        <w:t xml:space="preserve"> mokslų centras</w:t>
      </w:r>
    </w:p>
    <w:p w14:paraId="073C64F8" w14:textId="77777777" w:rsidR="00AB1710" w:rsidRDefault="00AB1710" w:rsidP="00D22D59">
      <w:r>
        <w:t xml:space="preserve">VU – </w:t>
      </w:r>
      <w:r w:rsidRPr="00802F62">
        <w:t>Vilniaus</w:t>
      </w:r>
      <w:r>
        <w:t xml:space="preserve"> universitetas</w:t>
      </w:r>
    </w:p>
    <w:p w14:paraId="32FA3CA9" w14:textId="77777777" w:rsidR="00791894" w:rsidRDefault="00791894" w:rsidP="00D22D59"/>
    <w:p w14:paraId="44F5EC92" w14:textId="77777777" w:rsidR="00791894" w:rsidRDefault="001B7FDE" w:rsidP="00D22D59">
      <w:r>
        <w:br w:type="page"/>
      </w:r>
    </w:p>
    <w:p w14:paraId="29817A54" w14:textId="77777777" w:rsidR="00791894" w:rsidRDefault="001B7FDE" w:rsidP="007675D9">
      <w:pPr>
        <w:pStyle w:val="Heading1"/>
      </w:pPr>
      <w:bookmarkStart w:id="1" w:name="_Toc183621359"/>
      <w:r w:rsidRPr="007675D9">
        <w:lastRenderedPageBreak/>
        <w:t>Įvadas</w:t>
      </w:r>
      <w:bookmarkEnd w:id="1"/>
    </w:p>
    <w:p w14:paraId="673EA176" w14:textId="77777777" w:rsidR="00420317" w:rsidRPr="00C83E26" w:rsidRDefault="00420317" w:rsidP="00420317">
      <w:r w:rsidRPr="00C83E26">
        <w:t xml:space="preserve">Šis dokumentas yra </w:t>
      </w:r>
      <w:r w:rsidRPr="0015238F">
        <w:rPr>
          <w:i/>
          <w:iCs/>
          <w:color w:val="000000" w:themeColor="text1"/>
        </w:rPr>
        <w:t>Microsoft Word</w:t>
      </w:r>
      <w:r w:rsidRPr="0015238F">
        <w:rPr>
          <w:color w:val="000000" w:themeColor="text1"/>
        </w:rPr>
        <w:t xml:space="preserve"> </w:t>
      </w:r>
      <w:r w:rsidRPr="00C83E26">
        <w:t xml:space="preserve">programa paruoštas šablonas </w:t>
      </w:r>
      <w:proofErr w:type="spellStart"/>
      <w:r w:rsidRPr="00C83E26">
        <w:rPr>
          <w:i/>
          <w:iCs/>
        </w:rPr>
        <w:t>docx</w:t>
      </w:r>
      <w:proofErr w:type="spellEnd"/>
      <w:r w:rsidRPr="00C83E26">
        <w:rPr>
          <w:i/>
          <w:iCs/>
        </w:rPr>
        <w:t xml:space="preserve"> </w:t>
      </w:r>
      <w:r w:rsidRPr="00C83E26">
        <w:t xml:space="preserve">formatu, kuris gali būti naudojamas rašant bakalauro ir magistro studijų programų baigiamuosius darbus. Šablonas paruoštas remiantis naujausiu </w:t>
      </w:r>
      <w:hyperlink r:id="rId9">
        <w:r w:rsidRPr="00BC7FF4">
          <w:rPr>
            <w:rStyle w:val="Hyperlink"/>
            <w:rFonts w:eastAsia="Georgia Pro" w:cs="Georgia Pro"/>
            <w:color w:val="7B003F"/>
            <w:u w:val="none"/>
          </w:rPr>
          <w:t>VU GMC metodinių nurodymų aprašu</w:t>
        </w:r>
      </w:hyperlink>
      <w:r w:rsidRPr="00C83E26">
        <w:t xml:space="preserve">, jame yra sukonfigūruota didelė dalis techninių darbo formatavimo reikalavimų. Dalis metodiniuose nurodymuose esančios informacijos yra perkelta ir į šį dokumentą siekiant iliustruoti šablono naudojimo ypatumus. Dabartinė baigiamojo darbo </w:t>
      </w:r>
      <w:r w:rsidRPr="00C83E26">
        <w:rPr>
          <w:i/>
          <w:iCs/>
        </w:rPr>
        <w:t xml:space="preserve">Microsoft Word </w:t>
      </w:r>
      <w:r w:rsidRPr="00C83E26">
        <w:t xml:space="preserve">šablono versija yra </w:t>
      </w:r>
      <w:r w:rsidRPr="00C83E26">
        <w:rPr>
          <w:b/>
          <w:bCs/>
        </w:rPr>
        <w:t>1.0</w:t>
      </w:r>
      <w:r w:rsidRPr="00C83E26">
        <w:t xml:space="preserve">, išleidimo data </w:t>
      </w:r>
      <w:r w:rsidRPr="00C83E26">
        <w:rPr>
          <w:b/>
          <w:bCs/>
        </w:rPr>
        <w:t xml:space="preserve">2024 m. </w:t>
      </w:r>
      <w:r>
        <w:rPr>
          <w:b/>
          <w:bCs/>
        </w:rPr>
        <w:t>lapkričio</w:t>
      </w:r>
      <w:r w:rsidRPr="00C83E26">
        <w:rPr>
          <w:b/>
          <w:bCs/>
        </w:rPr>
        <w:t xml:space="preserve"> </w:t>
      </w:r>
      <w:r>
        <w:rPr>
          <w:b/>
          <w:bCs/>
        </w:rPr>
        <w:t>24</w:t>
      </w:r>
      <w:r w:rsidRPr="00C83E26">
        <w:rPr>
          <w:b/>
          <w:bCs/>
        </w:rPr>
        <w:t> d</w:t>
      </w:r>
      <w:r w:rsidRPr="00C83E26">
        <w:t xml:space="preserve">. Jei turite siūlymų, kaip patobulinti šį šabloną, parašykite laišką adresu </w:t>
      </w:r>
      <w:hyperlink r:id="rId10">
        <w:r w:rsidRPr="00BC7FF4">
          <w:rPr>
            <w:rStyle w:val="Hyperlink"/>
            <w:rFonts w:eastAsia="Georgia Pro" w:cs="Georgia Pro"/>
            <w:color w:val="7B003F"/>
            <w:u w:val="none"/>
          </w:rPr>
          <w:t>vytautas.petrauskas@bti.vu.lt</w:t>
        </w:r>
      </w:hyperlink>
      <w:r w:rsidRPr="00C83E26">
        <w:t>.</w:t>
      </w:r>
    </w:p>
    <w:p w14:paraId="68C50781" w14:textId="77777777" w:rsidR="00420317" w:rsidRPr="00C83E26" w:rsidRDefault="00420317" w:rsidP="00420317">
      <w:r w:rsidRPr="00C83E26">
        <w:t>Nepriklausomai nuo to, kokią dokumentų rengimo sistemą naudojate, rašydami baigiamuosius darbus laikykitės akademinio rašymo principų</w:t>
      </w:r>
      <w:r w:rsidR="00F95B12">
        <w:t> </w:t>
      </w:r>
      <w:r w:rsidRPr="00C83E26">
        <w:t xml:space="preserve">– mokslinio objektyvumo, tikslumo, sąžiningo duomenų pateikimo ir aprašymo. Apie baigiamųjų darbų ir mokslinių publikacijų rašymo principus ir subtilybes yra parašyta nemažai knygų, straipsnių, </w:t>
      </w:r>
      <w:proofErr w:type="spellStart"/>
      <w:r w:rsidRPr="00C83E26">
        <w:t>video</w:t>
      </w:r>
      <w:proofErr w:type="spellEnd"/>
      <w:r w:rsidRPr="00C83E26">
        <w:t xml:space="preserve"> medžiagos internete. Norėdami plačiau įsigilinti į šią tematiką, galite paskaityti </w:t>
      </w:r>
      <w:r w:rsidR="00D16295">
        <w:fldChar w:fldCharType="begin"/>
      </w:r>
      <w:r w:rsidR="00D16295">
        <w:instrText xml:space="preserve"> ADDIN ZOTERO_ITEM CSL_CITATION {"citationID":"cOHVLmuv","properties":{"formattedCitation":"(Alley, 1996)","plainCitation":"(Alley, 1996)","dontUpdate":true,"noteIndex":0},"citationItems":[{"id":5985,"uris":["http://zotero.org/users/2219072/items/5QBMGVGG"],"itemData":{"id":5985,"type":"book","call-number":"T11 .A37 1996","edition":"3rd","event-place":"New York","ISBN":"978-0-387-94766-2","language":"en","note":"Citation Key: Alley1996\ntex.ids: Alley1996a\nDOI: 10.1007/978-1-4757-2482-0","number-of-pages":"282","publisher":"Springer","publisher-place":"New York","source":"Library of Congress ISBN","title":"The craft of scientific writing","author":[{"family":"Alley","given":"Michael"}],"issued":{"date-parts":[["1996"]]}}}],"schema":"https://github.com/citation-style-language/schema/raw/master/csl-citation.json"} </w:instrText>
      </w:r>
      <w:r w:rsidR="00D16295">
        <w:fldChar w:fldCharType="separate"/>
      </w:r>
      <w:r w:rsidR="00D16295" w:rsidRPr="00D16295">
        <w:rPr>
          <w:rFonts w:cs="Times New Roman"/>
        </w:rPr>
        <w:t xml:space="preserve">Alley </w:t>
      </w:r>
      <w:r w:rsidR="00D16295">
        <w:rPr>
          <w:rFonts w:cs="Times New Roman"/>
        </w:rPr>
        <w:t>(</w:t>
      </w:r>
      <w:r w:rsidR="00D16295" w:rsidRPr="00D16295">
        <w:rPr>
          <w:rFonts w:cs="Times New Roman"/>
        </w:rPr>
        <w:t>1996)</w:t>
      </w:r>
      <w:r w:rsidR="00D16295">
        <w:fldChar w:fldCharType="end"/>
      </w:r>
      <w:r w:rsidR="00D16295">
        <w:t xml:space="preserve">, </w:t>
      </w:r>
      <w:r w:rsidR="00D16295">
        <w:fldChar w:fldCharType="begin"/>
      </w:r>
      <w:r w:rsidR="00D16295">
        <w:instrText xml:space="preserve"> ADDIN ZOTERO_ITEM CSL_CITATION {"citationID":"RUutXyGl","properties":{"formattedCitation":"(Strunk &amp; White, 1999)","plainCitation":"(Strunk &amp; White, 1999)","noteIndex":0},"citationItems":[{"id":5987,"uris":["http://zotero.org/users/2219072/items/68ZQPXLP"],"itemData":{"id":5987,"type":"book","call-number":"PE1408 .S772 1999","edition":"4th","event-place":"Boston","ISBN":"978-0-205-30902-3","language":"en","note":"Citation Key: Strunk1999","number-of-pages":"105","publisher":"Allyn and Bacon","publisher-place":"Boston","source":"Library of Congress ISBN","title":"The Elements of Style","author":[{"family":"Strunk","given":"William"},{"family":"White","given":"E. B."}],"issued":{"date-parts":[["1999"]]}}}],"schema":"https://github.com/citation-style-language/schema/raw/master/csl-citation.json"} </w:instrText>
      </w:r>
      <w:r w:rsidR="00D16295">
        <w:fldChar w:fldCharType="separate"/>
      </w:r>
      <w:r w:rsidR="00D16295" w:rsidRPr="00D16295">
        <w:rPr>
          <w:rFonts w:cs="Times New Roman"/>
        </w:rPr>
        <w:t xml:space="preserve">Strunk &amp; White </w:t>
      </w:r>
      <w:r w:rsidR="00D16295">
        <w:rPr>
          <w:rFonts w:cs="Times New Roman"/>
        </w:rPr>
        <w:t>(</w:t>
      </w:r>
      <w:r w:rsidR="00D16295" w:rsidRPr="00D16295">
        <w:rPr>
          <w:rFonts w:cs="Times New Roman"/>
        </w:rPr>
        <w:t>1999)</w:t>
      </w:r>
      <w:r w:rsidR="00D16295">
        <w:fldChar w:fldCharType="end"/>
      </w:r>
      <w:r w:rsidRPr="00C83E26">
        <w:t xml:space="preserve">, </w:t>
      </w:r>
      <w:r w:rsidR="00D16295">
        <w:fldChar w:fldCharType="begin"/>
      </w:r>
      <w:r w:rsidR="00D16295">
        <w:instrText xml:space="preserve"> ADDIN ZOTERO_ITEM CSL_CITATION {"citationID":"tF3XqZjD","properties":{"formattedCitation":"(\\uc0\\u381{}ilinskas, 2016)","plainCitation":"(Žilinskas, 2016)","noteIndex":0},"citationItems":[{"id":6007,"uris":["http://zotero.org/users/2219072/items/8EC6MQS3"],"itemData":{"id":6007,"type":"book","event-place":"Vilnius","language":"lt","publisher":"Vilniaus universiteto leidykla","publisher-place":"Vilnius","source":"Zotero","title":"Rašto darbai. Ką būtina žinoti rengiant tiksliųjų mokslų rašto darbą. Mokomoji knyga","author":[{"family":"Žilinskas","given":"Pranas Juozas"}],"issued":{"date-parts":[["2016"]]}}}],"schema":"https://github.com/citation-style-language/schema/raw/master/csl-citation.json"} </w:instrText>
      </w:r>
      <w:r w:rsidR="00D16295">
        <w:fldChar w:fldCharType="separate"/>
      </w:r>
      <w:r w:rsidR="00D16295" w:rsidRPr="00D16295">
        <w:rPr>
          <w:rFonts w:cs="Times New Roman"/>
        </w:rPr>
        <w:t>Ž</w:t>
      </w:r>
      <w:r w:rsidR="00D16295">
        <w:rPr>
          <w:rFonts w:cs="Times New Roman"/>
        </w:rPr>
        <w:t>ilinskas</w:t>
      </w:r>
      <w:r w:rsidR="00D16295" w:rsidRPr="00D16295">
        <w:rPr>
          <w:rFonts w:cs="Times New Roman"/>
        </w:rPr>
        <w:t xml:space="preserve"> </w:t>
      </w:r>
      <w:r w:rsidR="00D16295">
        <w:rPr>
          <w:rFonts w:cs="Times New Roman"/>
        </w:rPr>
        <w:t>(</w:t>
      </w:r>
      <w:r w:rsidR="00D16295" w:rsidRPr="00D16295">
        <w:rPr>
          <w:rFonts w:cs="Times New Roman"/>
        </w:rPr>
        <w:t>2016)</w:t>
      </w:r>
      <w:r w:rsidR="00D16295">
        <w:fldChar w:fldCharType="end"/>
      </w:r>
      <w:r w:rsidRPr="00C83E26">
        <w:t xml:space="preserve"> ir </w:t>
      </w:r>
      <w:r w:rsidR="00D16295">
        <w:fldChar w:fldCharType="begin"/>
      </w:r>
      <w:r w:rsidR="00D16295">
        <w:instrText xml:space="preserve"> ADDIN ZOTERO_ITEM CSL_CITATION {"citationID":"yJnysGpW","properties":{"formattedCitation":"(Mensh &amp; Kording, 2017)","plainCitation":"(Mensh &amp; Kording, 2017)","noteIndex":0},"citationItems":[{"id":5988,"uris":["http://zotero.org/users/2219072/items/4WHYD49X"],"itemData":{"id":5988,"type":"article-journal","container-title":"PLOS Computational Biology","DOI":"10.1371/journal.pcbi.1005619","ISSN":"1553-7358","issue":"9","journalAbbreviation":"PLOS Computational Biology","language":"en","note":"number: 9\nCitation Key: Mensh2017","page":"e1005619","source":"PLoS Journals","title":"Ten simple rules for structuring papers","volume":"13","author":[{"family":"Mensh","given":"Brett"},{"family":"Kording","given":"Konrad"}],"issued":{"date-parts":[["2017"]]}}}],"schema":"https://github.com/citation-style-language/schema/raw/master/csl-citation.json"} </w:instrText>
      </w:r>
      <w:r w:rsidR="00D16295">
        <w:fldChar w:fldCharType="separate"/>
      </w:r>
      <w:r w:rsidR="00D16295" w:rsidRPr="00D16295">
        <w:rPr>
          <w:rFonts w:cs="Times New Roman"/>
        </w:rPr>
        <w:t xml:space="preserve">Mensh &amp; Kording </w:t>
      </w:r>
      <w:r w:rsidR="00D16295">
        <w:rPr>
          <w:rFonts w:cs="Times New Roman"/>
        </w:rPr>
        <w:t>(</w:t>
      </w:r>
      <w:r w:rsidR="00D16295" w:rsidRPr="00D16295">
        <w:rPr>
          <w:rFonts w:cs="Times New Roman"/>
        </w:rPr>
        <w:t>2017)</w:t>
      </w:r>
      <w:r w:rsidR="00D16295">
        <w:fldChar w:fldCharType="end"/>
      </w:r>
      <w:r w:rsidRPr="00C83E26">
        <w:t xml:space="preserve"> darbuose pateikiamus patarimus.</w:t>
      </w:r>
    </w:p>
    <w:p w14:paraId="69BDBF52" w14:textId="77777777" w:rsidR="00420317" w:rsidRPr="00C83E26" w:rsidRDefault="00420317" w:rsidP="00420317">
      <w:r w:rsidRPr="00C83E26">
        <w:t>Baigiamojo darbo metodinių nurodymų apraše yra reikalavimas teksto paraštėms: viršutinė ir apatinė</w:t>
      </w:r>
      <w:r w:rsidR="00F95B12">
        <w:t> </w:t>
      </w:r>
      <w:r w:rsidRPr="00C83E26">
        <w:t>– 2 cm, kairė</w:t>
      </w:r>
      <w:r w:rsidR="00F95B12">
        <w:t> </w:t>
      </w:r>
      <w:r w:rsidRPr="00C83E26">
        <w:t>– 2,5 cm, dešinė</w:t>
      </w:r>
      <w:r w:rsidR="00F95B12">
        <w:t> </w:t>
      </w:r>
      <w:r w:rsidRPr="00C83E26">
        <w:t xml:space="preserve">– 1,5 cm. Šis šablonas sudarytas naudojant puslapio viršutinę ir apatinę antraštes (angl. </w:t>
      </w:r>
      <w:proofErr w:type="spellStart"/>
      <w:r w:rsidRPr="00C83E26">
        <w:rPr>
          <w:i/>
          <w:iCs/>
        </w:rPr>
        <w:t>headers</w:t>
      </w:r>
      <w:proofErr w:type="spellEnd"/>
      <w:r w:rsidRPr="00C83E26">
        <w:t xml:space="preserve"> ir </w:t>
      </w:r>
      <w:proofErr w:type="spellStart"/>
      <w:r w:rsidRPr="00C83E26">
        <w:rPr>
          <w:i/>
          <w:iCs/>
        </w:rPr>
        <w:t>footers</w:t>
      </w:r>
      <w:proofErr w:type="spellEnd"/>
      <w:r w:rsidRPr="00C83E26">
        <w:t xml:space="preserve">), todėl teksto paraščių dydis </w:t>
      </w:r>
      <w:r w:rsidR="00BC7FF4">
        <w:t>gali</w:t>
      </w:r>
      <w:r w:rsidRPr="00C83E26">
        <w:t xml:space="preserve"> būti pakoreguotas atsižvelgiant į antraščių matmenis </w:t>
      </w:r>
      <w:r w:rsidR="00BC7FF4">
        <w:t>taip, kad</w:t>
      </w:r>
      <w:r w:rsidRPr="00C83E26">
        <w:t xml:space="preserve"> galutinis teksto paraštės dydis ir viršuje ir apačioje </w:t>
      </w:r>
      <w:proofErr w:type="spellStart"/>
      <w:r w:rsidRPr="00C83E26">
        <w:t>išliek</w:t>
      </w:r>
      <w:r w:rsidR="00BC7FF4">
        <w:t>tų</w:t>
      </w:r>
      <w:proofErr w:type="spellEnd"/>
      <w:r w:rsidRPr="00C83E26">
        <w:t xml:space="preserve"> 2 cm.</w:t>
      </w:r>
    </w:p>
    <w:p w14:paraId="2F61965D" w14:textId="77777777" w:rsidR="00791894" w:rsidRDefault="001B7FDE" w:rsidP="00D22D59">
      <w:r>
        <w:br w:type="page"/>
      </w:r>
    </w:p>
    <w:p w14:paraId="4DD24500" w14:textId="77777777" w:rsidR="00791894" w:rsidRDefault="001B7FDE" w:rsidP="007675D9">
      <w:pPr>
        <w:pStyle w:val="Heading1"/>
        <w:numPr>
          <w:ilvl w:val="0"/>
          <w:numId w:val="14"/>
        </w:numPr>
      </w:pPr>
      <w:bookmarkStart w:id="2" w:name="_Toc183621360"/>
      <w:r>
        <w:lastRenderedPageBreak/>
        <w:t>Literatūros apžvalga</w:t>
      </w:r>
      <w:bookmarkEnd w:id="2"/>
    </w:p>
    <w:p w14:paraId="16ADFB53" w14:textId="77777777" w:rsidR="00C95B8C" w:rsidRDefault="00C95B8C" w:rsidP="00C006FC">
      <w:pPr>
        <w:pStyle w:val="Heading2"/>
      </w:pPr>
      <w:bookmarkStart w:id="3" w:name="__RefHeading___Toc10400_1176070517"/>
      <w:bookmarkStart w:id="4" w:name="_Toc181480244"/>
      <w:bookmarkStart w:id="5" w:name="_Toc181486672"/>
      <w:bookmarkStart w:id="6" w:name="_Toc183621361"/>
      <w:r w:rsidRPr="007675D9">
        <w:t>Baigiamojo</w:t>
      </w:r>
      <w:r>
        <w:t xml:space="preserve"> darbo struktūra</w:t>
      </w:r>
      <w:bookmarkEnd w:id="3"/>
      <w:bookmarkEnd w:id="4"/>
      <w:bookmarkEnd w:id="5"/>
      <w:bookmarkEnd w:id="6"/>
    </w:p>
    <w:p w14:paraId="2B8F6F54" w14:textId="77777777" w:rsidR="00C95B8C" w:rsidRDefault="00C95B8C" w:rsidP="00C95B8C">
      <w:r>
        <w:t xml:space="preserve">Baigiamuosius rašto darbus </w:t>
      </w:r>
      <w:r w:rsidRPr="00802F62">
        <w:t>rekomenduojame</w:t>
      </w:r>
      <w:r>
        <w:t xml:space="preserve"> rašyti laikantis tokios struktūros:</w:t>
      </w:r>
    </w:p>
    <w:p w14:paraId="38AEAAA1" w14:textId="77777777" w:rsidR="00C95B8C" w:rsidRPr="00C95B8C" w:rsidRDefault="00C95B8C" w:rsidP="00C95B8C">
      <w:pPr>
        <w:numPr>
          <w:ilvl w:val="0"/>
          <w:numId w:val="10"/>
        </w:numPr>
        <w:rPr>
          <w:b/>
        </w:rPr>
      </w:pPr>
      <w:r w:rsidRPr="00C95B8C">
        <w:rPr>
          <w:b/>
        </w:rPr>
        <w:t>Antraštinis puslapis</w:t>
      </w:r>
    </w:p>
    <w:p w14:paraId="1FD4B669" w14:textId="77777777" w:rsidR="00C95B8C" w:rsidRPr="00C95B8C" w:rsidRDefault="00C95B8C" w:rsidP="00E933E1">
      <w:pPr>
        <w:numPr>
          <w:ilvl w:val="0"/>
          <w:numId w:val="10"/>
        </w:numPr>
        <w:ind w:left="927"/>
        <w:rPr>
          <w:b/>
        </w:rPr>
      </w:pPr>
      <w:r w:rsidRPr="00C95B8C">
        <w:rPr>
          <w:b/>
        </w:rPr>
        <w:t>Turinys</w:t>
      </w:r>
    </w:p>
    <w:p w14:paraId="3E669E68" w14:textId="77777777" w:rsidR="00C95B8C" w:rsidRDefault="00C95B8C" w:rsidP="00C95B8C">
      <w:pPr>
        <w:numPr>
          <w:ilvl w:val="0"/>
          <w:numId w:val="10"/>
        </w:numPr>
      </w:pPr>
      <w:r>
        <w:t>Santrumpos</w:t>
      </w:r>
    </w:p>
    <w:p w14:paraId="01D7C178" w14:textId="77777777" w:rsidR="00C95B8C" w:rsidRPr="00C95B8C" w:rsidRDefault="00C95B8C" w:rsidP="00C95B8C">
      <w:pPr>
        <w:numPr>
          <w:ilvl w:val="0"/>
          <w:numId w:val="10"/>
        </w:numPr>
        <w:rPr>
          <w:b/>
        </w:rPr>
      </w:pPr>
      <w:r w:rsidRPr="00C95B8C">
        <w:rPr>
          <w:b/>
        </w:rPr>
        <w:t>Įvadas</w:t>
      </w:r>
    </w:p>
    <w:p w14:paraId="4D25C939" w14:textId="77777777" w:rsidR="00C95B8C" w:rsidRPr="00C95B8C" w:rsidRDefault="00C95B8C" w:rsidP="00C95B8C">
      <w:pPr>
        <w:numPr>
          <w:ilvl w:val="0"/>
          <w:numId w:val="10"/>
        </w:numPr>
        <w:rPr>
          <w:b/>
        </w:rPr>
      </w:pPr>
      <w:r w:rsidRPr="00C95B8C">
        <w:rPr>
          <w:b/>
        </w:rPr>
        <w:t>Literatūros apžvalga</w:t>
      </w:r>
    </w:p>
    <w:p w14:paraId="3DA56521" w14:textId="77777777" w:rsidR="00C95B8C" w:rsidRPr="00C95B8C" w:rsidRDefault="00C95B8C" w:rsidP="00C95B8C">
      <w:pPr>
        <w:numPr>
          <w:ilvl w:val="0"/>
          <w:numId w:val="10"/>
        </w:numPr>
        <w:rPr>
          <w:b/>
        </w:rPr>
      </w:pPr>
      <w:r w:rsidRPr="00C95B8C">
        <w:rPr>
          <w:b/>
        </w:rPr>
        <w:t>Medžiagos ir metodai</w:t>
      </w:r>
    </w:p>
    <w:p w14:paraId="0D25702B" w14:textId="77777777" w:rsidR="00C95B8C" w:rsidRPr="00C95B8C" w:rsidRDefault="00C95B8C" w:rsidP="00C95B8C">
      <w:pPr>
        <w:numPr>
          <w:ilvl w:val="0"/>
          <w:numId w:val="10"/>
        </w:numPr>
        <w:rPr>
          <w:b/>
        </w:rPr>
      </w:pPr>
      <w:r w:rsidRPr="00C95B8C">
        <w:rPr>
          <w:b/>
        </w:rPr>
        <w:t>Rezultatai</w:t>
      </w:r>
    </w:p>
    <w:p w14:paraId="704CD88A" w14:textId="77777777" w:rsidR="00C95B8C" w:rsidRPr="00C95B8C" w:rsidRDefault="00C95B8C" w:rsidP="00C95B8C">
      <w:pPr>
        <w:numPr>
          <w:ilvl w:val="0"/>
          <w:numId w:val="10"/>
        </w:numPr>
        <w:rPr>
          <w:b/>
        </w:rPr>
      </w:pPr>
      <w:r w:rsidRPr="00C95B8C">
        <w:rPr>
          <w:b/>
        </w:rPr>
        <w:t>Rezultatų aptarimas</w:t>
      </w:r>
    </w:p>
    <w:p w14:paraId="4F1C2BCE" w14:textId="77777777" w:rsidR="00C95B8C" w:rsidRPr="00C95B8C" w:rsidRDefault="00C95B8C" w:rsidP="00C95B8C">
      <w:pPr>
        <w:numPr>
          <w:ilvl w:val="0"/>
          <w:numId w:val="10"/>
        </w:numPr>
        <w:rPr>
          <w:b/>
        </w:rPr>
      </w:pPr>
      <w:r w:rsidRPr="00C95B8C">
        <w:rPr>
          <w:b/>
        </w:rPr>
        <w:t>Išvados</w:t>
      </w:r>
    </w:p>
    <w:p w14:paraId="06C9597A" w14:textId="77777777" w:rsidR="00C95B8C" w:rsidRDefault="00C95B8C" w:rsidP="00C95B8C">
      <w:pPr>
        <w:numPr>
          <w:ilvl w:val="0"/>
          <w:numId w:val="10"/>
        </w:numPr>
      </w:pPr>
      <w:r>
        <w:t>Rekomendacijos</w:t>
      </w:r>
    </w:p>
    <w:p w14:paraId="757A566A" w14:textId="77777777" w:rsidR="00C95B8C" w:rsidRPr="00C95B8C" w:rsidRDefault="00C95B8C" w:rsidP="00C95B8C">
      <w:pPr>
        <w:numPr>
          <w:ilvl w:val="0"/>
          <w:numId w:val="10"/>
        </w:numPr>
        <w:rPr>
          <w:b/>
        </w:rPr>
      </w:pPr>
      <w:r w:rsidRPr="00C95B8C">
        <w:rPr>
          <w:b/>
        </w:rPr>
        <w:t>Autoriaus asmeninis indėlis</w:t>
      </w:r>
    </w:p>
    <w:p w14:paraId="71520A14" w14:textId="77777777" w:rsidR="00C95B8C" w:rsidRDefault="00C95B8C" w:rsidP="00C95B8C">
      <w:pPr>
        <w:numPr>
          <w:ilvl w:val="0"/>
          <w:numId w:val="10"/>
        </w:numPr>
      </w:pPr>
      <w:r>
        <w:t>Rezultatų sklaida</w:t>
      </w:r>
    </w:p>
    <w:p w14:paraId="73599EEB" w14:textId="77777777" w:rsidR="00C95B8C" w:rsidRDefault="00C95B8C" w:rsidP="00C95B8C">
      <w:pPr>
        <w:numPr>
          <w:ilvl w:val="0"/>
          <w:numId w:val="10"/>
        </w:numPr>
      </w:pPr>
      <w:r>
        <w:t>Padėka</w:t>
      </w:r>
    </w:p>
    <w:p w14:paraId="50328EBD" w14:textId="77777777" w:rsidR="00C95B8C" w:rsidRPr="00C95B8C" w:rsidRDefault="00C95B8C" w:rsidP="00C95B8C">
      <w:pPr>
        <w:numPr>
          <w:ilvl w:val="0"/>
          <w:numId w:val="10"/>
        </w:numPr>
        <w:rPr>
          <w:b/>
        </w:rPr>
      </w:pPr>
      <w:r w:rsidRPr="00C95B8C">
        <w:rPr>
          <w:b/>
        </w:rPr>
        <w:t>Santrauka lietuvių kalba</w:t>
      </w:r>
    </w:p>
    <w:p w14:paraId="3E9ABBC2" w14:textId="77777777" w:rsidR="00C95B8C" w:rsidRPr="00C95B8C" w:rsidRDefault="00C95B8C" w:rsidP="00C95B8C">
      <w:pPr>
        <w:numPr>
          <w:ilvl w:val="0"/>
          <w:numId w:val="10"/>
        </w:numPr>
        <w:rPr>
          <w:b/>
        </w:rPr>
      </w:pPr>
      <w:r w:rsidRPr="00C95B8C">
        <w:rPr>
          <w:b/>
        </w:rPr>
        <w:t>Santrauka anglų kalba</w:t>
      </w:r>
    </w:p>
    <w:p w14:paraId="5121C5CF" w14:textId="77777777" w:rsidR="00C95B8C" w:rsidRPr="00C95B8C" w:rsidRDefault="00C95B8C" w:rsidP="00C95B8C">
      <w:pPr>
        <w:numPr>
          <w:ilvl w:val="0"/>
          <w:numId w:val="10"/>
        </w:numPr>
        <w:rPr>
          <w:b/>
        </w:rPr>
      </w:pPr>
      <w:r w:rsidRPr="00C95B8C">
        <w:rPr>
          <w:b/>
        </w:rPr>
        <w:t>Literatūros sąrašas</w:t>
      </w:r>
    </w:p>
    <w:p w14:paraId="17AE8938" w14:textId="77777777" w:rsidR="00C95B8C" w:rsidRDefault="00C95B8C" w:rsidP="00C95B8C">
      <w:pPr>
        <w:numPr>
          <w:ilvl w:val="0"/>
          <w:numId w:val="10"/>
        </w:numPr>
      </w:pPr>
      <w:r>
        <w:t>Priedai</w:t>
      </w:r>
    </w:p>
    <w:p w14:paraId="1DD2D5DB" w14:textId="77777777" w:rsidR="00C95B8C" w:rsidRPr="00C006FC" w:rsidRDefault="00C95B8C" w:rsidP="00C95B8C">
      <w:pPr>
        <w:rPr>
          <w:rFonts w:cs="Times New Roman"/>
        </w:rPr>
      </w:pPr>
      <w:r w:rsidRPr="00C006FC">
        <w:rPr>
          <w:rFonts w:cs="Times New Roman"/>
        </w:rPr>
        <w:t>Paryškintu šriftu pažymėtos dalys yra privalomos visų GMC studijų krypčių baigiamiesiems darbams, kitos dalys į rašto darbą įtraukiamos autoriaus nuožiūra arba esant poreikiui. Išvardinti struktūriniai elementai paprastai rašomi kaip dokumento skyriai. Baigiamuosiuose darbuose įprasta numeruoti tik dėstomosios dalies</w:t>
      </w:r>
      <w:r w:rsidR="00F95B12">
        <w:rPr>
          <w:rFonts w:cs="Times New Roman"/>
        </w:rPr>
        <w:t> </w:t>
      </w:r>
      <w:r w:rsidRPr="00C006FC">
        <w:rPr>
          <w:rFonts w:cs="Times New Roman"/>
        </w:rPr>
        <w:t>– literatūros apžvalgos, metodikos, rezultatų</w:t>
      </w:r>
      <w:r w:rsidR="00F95B12">
        <w:rPr>
          <w:rFonts w:cs="Times New Roman"/>
        </w:rPr>
        <w:t> </w:t>
      </w:r>
      <w:r w:rsidRPr="00C006FC">
        <w:rPr>
          <w:rFonts w:cs="Times New Roman"/>
        </w:rPr>
        <w:t>– skyrius (žymimus vienu skaičiumi su tašku, pvz., 1.) ir jų smulkesnes struktūrines dalis: poskyrius (žymimus dviem skaitmenimis, pvz., 1.2.) ir skyrelius (žymimus trimis skaitmenimis, pvz., 1.2.3.). Jei kurią nors rašto darbo struktūrinę dalį skaidote į smulkesnius vienetus, darbą struktūruokite taip, kad skaidomame skyriuje būtų mažiausiai du poskyriai, o poskyryje bent du skyreliai. Stenkitės nedaryti mažesnių kaip skyreliai dokumento struktūrinių lygmenų, nes pernelyg smulkmeniškas dėstomosios dalies skaidymas į dar smulkesnius lygmenis labai apsunkina darbo struktūros supratimą. Jei reikia, pasitelkite kitus dokumentų struktūravimo elementus, t. y. pavadinimus turinčius paragrafus bei numeruotus ir nenumeruotus sąrašus.</w:t>
      </w:r>
    </w:p>
    <w:p w14:paraId="3C62E1FD" w14:textId="77777777" w:rsidR="00C006FC" w:rsidRDefault="00C006FC" w:rsidP="00C006FC">
      <w:pPr>
        <w:pStyle w:val="Heading2"/>
      </w:pPr>
      <w:bookmarkStart w:id="7" w:name="_Toc183621362"/>
      <w:r>
        <w:lastRenderedPageBreak/>
        <w:t>Antraštinis puslapis</w:t>
      </w:r>
      <w:bookmarkEnd w:id="7"/>
    </w:p>
    <w:p w14:paraId="38847FED" w14:textId="77777777" w:rsidR="00C006FC" w:rsidRDefault="00C006FC" w:rsidP="00C006FC">
      <w:r>
        <w:t>Antraštiniame baigiamojo darbo puslapyje yra nurodomas universitetas ir kamieninis padalinys, studento vardas ir pavardė, darbo pavadinimas, studijų pakopa ir programa, darbo vadovas(ė), konsultantas(ė), darbo atlikimo vieta, miestas ir metai. Šis puslapis yra įtraukiamas į bendrą puslapių numeraciją, tačiau numeris jame nerašomas.</w:t>
      </w:r>
    </w:p>
    <w:p w14:paraId="4E2C78D8" w14:textId="77777777" w:rsidR="00C006FC" w:rsidRDefault="00C006FC" w:rsidP="00C006FC">
      <w:r>
        <w:t>Vienas iš svarbiausių antraštinio puslapio elementų yra darbo pavadinimas. Geras pavadinimas turi nusakyti tyrimų sritį ir pateikti detalių, kurios išskirtų darbą iš kitų panašios srities darbų. Pavadinime turėtų atsispindėti pagrindinė viso tyrimo idėja. Iš vienos pusės pavadinimas neturėtų būti abstraktus ir apimantis labai plačią tyrimų sritį, iš kitos pusės, pernelyg ilgas pavadinimas taip pat yra blogai, nes skaitytojas gali suprasti ribotą kiekį informacijos. Kartais pavadinimas yra vadinamas pirmuoju skaitytojo barjeru</w:t>
      </w:r>
      <w:r w:rsidR="00F95B12">
        <w:t> </w:t>
      </w:r>
      <w:r>
        <w:t xml:space="preserve">– jei skaitantysis nesupranta pavadinimo, vargu ar jis norės imtis tolesnio darbo skaitymo. Nėra lengva surasti balansą tarp pavadinimo aiškumo, detalumo ir ilgio, todėl verta darbo eigoje vis grįžti ir apgalvoti, ar pavadinimas vis dar atspindi esminę darbo žinutę. Patarimų, kaip rašyti mokslinių darbų pavadinimus, galite rasti įvairiuose leidiniuose </w:t>
      </w:r>
      <w:r w:rsidR="00E933E1">
        <w:fldChar w:fldCharType="begin"/>
      </w:r>
      <w:r w:rsidR="00E933E1">
        <w:instrText xml:space="preserve"> ADDIN ZOTERO_ITEM CSL_CITATION {"citationID":"LhszM48C","properties":{"formattedCitation":"(Alley, 1996; Buriak, 2014; Skrabalak, 2021)","plainCitation":"(Alley, 1996; Buriak, 2014; Skrabalak, 2021)","noteIndex":0},"citationItems":[{"id":5985,"uris":["http://zotero.org/users/2219072/items/5QBMGVGG"],"itemData":{"id":5985,"type":"book","call-number":"T11 .A37 1996","edition":"3rd","event-place":"New York","ISBN":"978-0-387-94766-2","language":"en","note":"Citation Key: Alley1996\ntex.ids: Alley1996a\nDOI: 10.1007/978-1-4757-2482-0","number-of-pages":"282","publisher":"Springer","publisher-place":"New York","source":"Library of Congress ISBN","title":"The craft of scientific writing","author":[{"family":"Alley","given":"Michael"}],"issued":{"date-parts":[["1996"]]}}},{"id":5992,"uris":["http://zotero.org/users/2219072/items/TP6LAFI9"],"itemData":{"id":5992,"type":"article-journal","container-title":"Chemistry of Materials","DOI":"10.1021/cm5017917","ISSN":"0897-4756, 1520-5002","issue":"11","journalAbbreviation":"Chem. Mater.","language":"en","note":"number: 11","page":"3349-3350","source":"DOI.org (Crossref)","title":"The Art of Writing the Title of Your Paper","volume":"26","author":[{"family":"Buriak","given":"Jillian M."}],"issued":{"date-parts":[["2014"]]}}},{"id":5994,"uris":["http://zotero.org/users/2219072/items/I5446KUY"],"itemData":{"id":5994,"type":"article-journal","container-title":"Chemistry of Materials","DOI":"10.1021/acs.chemmater.1c03512","ISSN":"0897-4756","issue":"21","journalAbbreviation":"Chem. Mater.","note":"number: 21\npublisher: American Chemical Society","page":"8145-8146","source":"ACS Publications","title":"My manuscript was “rejected without review” from Chemistry of Materials: a lesson in burying the lede","title-short":"My manuscript was “rejected without review” from chemistry of materials","volume":"33","author":[{"family":"Skrabalak","given":"Sara E."}],"issued":{"date-parts":[["2021"]]}}}],"schema":"https://github.com/citation-style-language/schema/raw/master/csl-citation.json"} </w:instrText>
      </w:r>
      <w:r w:rsidR="00E933E1">
        <w:fldChar w:fldCharType="separate"/>
      </w:r>
      <w:r w:rsidR="00E933E1" w:rsidRPr="00E933E1">
        <w:rPr>
          <w:rFonts w:cs="Times New Roman"/>
        </w:rPr>
        <w:t>(Alley, 1996; Buriak, 2014; Skrabalak, 2021)</w:t>
      </w:r>
      <w:r w:rsidR="00E933E1">
        <w:fldChar w:fldCharType="end"/>
      </w:r>
      <w:r>
        <w:t>.</w:t>
      </w:r>
    </w:p>
    <w:p w14:paraId="1B24D6D4" w14:textId="77777777" w:rsidR="00791894" w:rsidRDefault="00791894" w:rsidP="00D22D59"/>
    <w:p w14:paraId="6F524D1E" w14:textId="77777777" w:rsidR="00791894" w:rsidRDefault="001B7FDE" w:rsidP="00D22D59">
      <w:r>
        <w:br w:type="page"/>
      </w:r>
    </w:p>
    <w:p w14:paraId="43656A64" w14:textId="77777777" w:rsidR="00791894" w:rsidRDefault="001B7FDE" w:rsidP="00C006FC">
      <w:pPr>
        <w:pStyle w:val="Heading1"/>
        <w:numPr>
          <w:ilvl w:val="0"/>
          <w:numId w:val="14"/>
        </w:numPr>
      </w:pPr>
      <w:bookmarkStart w:id="8" w:name="_Toc183621363"/>
      <w:r>
        <w:lastRenderedPageBreak/>
        <w:t>Medžiagos ir metodai</w:t>
      </w:r>
      <w:bookmarkEnd w:id="8"/>
    </w:p>
    <w:p w14:paraId="24AF46C9" w14:textId="77777777" w:rsidR="00791894" w:rsidRDefault="00EA1B07" w:rsidP="00F95B12">
      <w:r>
        <w:t>Medžiagų ir metodų skyriuje reikia nuosekliai ir aiškiai aprašyti naudotas medžiagas, metodikas, darbo etapus, tyrimų įrangą ir eigą. Šis skyrius turi būti parašytas taip, kad juo remdamasis kitas asmuo galėtų pakartoti tyrimą. Metodikos skyriuje taip pat turi būti aprašyti tiriamieji asmenys, jei tyrimą atlikote su žmonėmis, ir tyrimo objektai, jei tyrimą atlikote su gyvūnais, augalais, grybais ir kitais gyvosios ar negyvosios gamtos objektais. Šiame skyriuje reikia pateikti nuasmenintus tiriamųjų asmenų duomenis (amžiaus grupė, fiziniai duomenys ir pan.) ir kriterijus, kuriais remdamiesi juos atrinkote. Rašydami apie tyrimo objektus detalizuokite, kokią rūšį tyrėte, kokiais kriterijais remdamiesi juos pasirinkote ir pan.</w:t>
      </w:r>
    </w:p>
    <w:p w14:paraId="733B594B" w14:textId="77777777" w:rsidR="00F95B12" w:rsidRDefault="00F95B12" w:rsidP="00F95B12">
      <w:pPr>
        <w:pStyle w:val="Heading2"/>
      </w:pPr>
      <w:bookmarkStart w:id="9" w:name="_Toc183621364"/>
      <w:r>
        <w:t>Medžiagos</w:t>
      </w:r>
      <w:bookmarkEnd w:id="9"/>
    </w:p>
    <w:p w14:paraId="46DD8F00" w14:textId="77777777" w:rsidR="00FF6931" w:rsidRDefault="00F95B12" w:rsidP="002D1459">
      <w:r>
        <w:t>Atlikus tyrimus su gyvūnais, reikia įrašyti Lietuvos bandomųjų gyvūnų naudojimo etikos komi-sijos prie Valstybinės maisto ir veterinarijos tarnybos leidimo atlikti tyrimą numerį. Žmonių tyrimams reikia gauti Bioetikos komiteto prie Sveikatos apsaugos ministerijos leidimą, kurio numeris ir išdavimo data taip pat turi būti nurodyti baigiamajame darbe. Jei ruošiant baigiamąjį darbą buvo dirbama su saugomomis rūšimis, turi būti pateiktas Aplinkos apsaugos agentūros Gyvosios gamtos licencijavimo skyriaus išduotas raštiškas leidimas. Jei tyrimai atlikti saugomoje teritorijoje, turi būti pateiktas saugomos teritorijos atsakingų darbuotojų sutikimas.</w:t>
      </w:r>
    </w:p>
    <w:p w14:paraId="3CC3DD79" w14:textId="77777777" w:rsidR="00F95B12" w:rsidRDefault="00F95B12" w:rsidP="00F95B12">
      <w:r>
        <w:t>Rašydami metodikos skyrių nurodykite ne tik kokias medžiagas naudojote savo tyrimuose, tačiau įvardinkite ir jų gamintojus. Metodų aprašymas turėtų apimti visus tyrimo etapus, aprašykite atliekamų eksperimentų schemas ir eigą, paaiškinkite esmines procedūras. Nepaisant detalumo, aprašymas turėtų būti glaustas, nereikia pažodžiui perrašinėti viso tyrimo protokolo, turi būti padaryta jo santrauka. Taip pat nereikia detaliai aprašinėti įprastinių procedūrų, pvz., buferinių tirpalų gamybos, bet reikėtų nurodyti, kokių koncentracijų tirpalai buvo ruošti ir naudoti.</w:t>
      </w:r>
    </w:p>
    <w:p w14:paraId="41144911" w14:textId="77777777" w:rsidR="00F95B12" w:rsidRDefault="00F95B12" w:rsidP="00F95B12">
      <w:pPr>
        <w:pStyle w:val="Heading2"/>
      </w:pPr>
      <w:bookmarkStart w:id="10" w:name="_Toc183621365"/>
      <w:r>
        <w:t>Metodai</w:t>
      </w:r>
      <w:bookmarkEnd w:id="10"/>
    </w:p>
    <w:p w14:paraId="4243F069" w14:textId="77777777" w:rsidR="00F95B12" w:rsidRDefault="00F95B12" w:rsidP="00F95B12">
      <w:r>
        <w:t>Metodikoje svarbu aprašyti ir naudotą matavimų įrangą bei analizės metodus. Jei darbe buvo naudoti standartiniai gamintojo rinkiniai, pakanka nurodyti, kad buvo laikomasi gamintojo rekomendacijų (ir kur tas rekomendacijas galima rasti). Statistinių metodų skyrelyje reikėtų aprašyti tyrimo metu gautus kiekybinius duomenis, eksperimentų pakartojimų skaičių, kokie statistiniai dydžiai buvo pateikti ir kokiais testais naudojantis buvo palyginti duomenys. Privaloma nurodyti ir duomenų analizei naudotą kompiuterinę programą. Daug vietos užimančias, specifines metodikos dalis (anketas, specializuotus stimulų, paveikslų ar panašius rinkinius) rekomenduojame talpinti prieduose.</w:t>
      </w:r>
    </w:p>
    <w:p w14:paraId="436AC0D0" w14:textId="77777777" w:rsidR="00F95B12" w:rsidRDefault="00F95B12" w:rsidP="00F95B12">
      <w:r>
        <w:t xml:space="preserve">Svarbu nepamiršti paminėti bendradarbiavimą su kitomis institucijomis ir kolegomis, jei tam tikrus eksperimentus atlikote ne tik jūs ar jūsų darbo vadovas. Pavyzdžiui, „gautų sidabro </w:t>
      </w:r>
      <w:proofErr w:type="spellStart"/>
      <w:r>
        <w:t>nanodalelių</w:t>
      </w:r>
      <w:proofErr w:type="spellEnd"/>
      <w:r>
        <w:t xml:space="preserve"> </w:t>
      </w:r>
      <w:r>
        <w:lastRenderedPageBreak/>
        <w:t xml:space="preserve">skenuojančiosios elektroninės mikroskopijos analizė buvo atlikta Nacionaliniame fizinių ir technologijos mokslų centre, bendradarbiaujant su dr. Y. </w:t>
      </w:r>
      <w:proofErr w:type="spellStart"/>
      <w:r>
        <w:t>Ygrikaičiu</w:t>
      </w:r>
      <w:proofErr w:type="spellEnd"/>
      <w:r>
        <w:t>“.</w:t>
      </w:r>
    </w:p>
    <w:p w14:paraId="7173CF24" w14:textId="77777777" w:rsidR="00F95B12" w:rsidRPr="00F95B12" w:rsidRDefault="00F95B12" w:rsidP="00F95B12">
      <w:r>
        <w:t>Tyrimo vietovių aprašymas yra būtinas, kuomet medžiaga baigiamajam darbui renkama gamtoje, tam tikroje aplinkoje ar specifinėse vietovėse. Turite pateikti geografinę vietovės (vietovių, jei medžiaga darbui buvo renkama keliose vietose) charakteristiką, surinktų medžiagų apimtis, įvardinti specifinius aplinkos požymius, susijusius su darbo tema ir darančius įtaką darbo rezultatams. Autoriaus sprendimu, priklausomai nuo apimties ir svarbos baigiamajame darbe, tyrimo vietovių aprašymas gali būti rašomas kaip metodikos skyriaus poskyris arba kaip atskiras skyrius.</w:t>
      </w:r>
    </w:p>
    <w:p w14:paraId="02DE8148" w14:textId="77777777" w:rsidR="00791894" w:rsidRDefault="001B7FDE" w:rsidP="00D22D59">
      <w:r>
        <w:br w:type="page"/>
      </w:r>
    </w:p>
    <w:p w14:paraId="2D125B88" w14:textId="77777777" w:rsidR="00791894" w:rsidRDefault="001B7FDE" w:rsidP="00C006FC">
      <w:pPr>
        <w:pStyle w:val="Heading1"/>
        <w:numPr>
          <w:ilvl w:val="0"/>
          <w:numId w:val="14"/>
        </w:numPr>
      </w:pPr>
      <w:bookmarkStart w:id="11" w:name="_Toc183621366"/>
      <w:r>
        <w:lastRenderedPageBreak/>
        <w:t>Rezultatai</w:t>
      </w:r>
      <w:bookmarkEnd w:id="11"/>
    </w:p>
    <w:p w14:paraId="344E48FA" w14:textId="77777777" w:rsidR="003E3C6C" w:rsidRDefault="003E3C6C" w:rsidP="003E3C6C">
      <w:pPr>
        <w:pStyle w:val="Heading2"/>
      </w:pPr>
      <w:bookmarkStart w:id="12" w:name="_Toc183621367"/>
      <w:r w:rsidRPr="003E3C6C">
        <w:t>Bendrosios nuostatos</w:t>
      </w:r>
      <w:bookmarkEnd w:id="12"/>
    </w:p>
    <w:p w14:paraId="3A525DC3" w14:textId="77777777" w:rsidR="003E3C6C" w:rsidRDefault="003E3C6C" w:rsidP="003E3C6C">
      <w:r>
        <w:t>Rezultatų skyriuje detaliai aprašomi darbo autoriaus gauti tyrimų duomenys, pateikiama jų analizė, interpretacija ir aptarimas. Šio skyriaus pradžioje galite parašyti trumpą įvadinę dalį, kurioje nurodytumėte, ar šiuo darbu buvo pradėta nauja tyrimų kryptis, ar tai yra laboratorijoje vykdomų darbų tąsa. Rezultatų dalies pradžioje taip pat galite skaitytojams priminti svarbiausius darbo uždavinius susiejant juos su planuojamais aprašyti tyrimais. Rezultatus baigiamajame darbe galima rašyti dvejopai: 1) pateikti kartu su jų aptarimu viename skyriuje, arba 2) rezultatus išdėstyti viename skyriuje, o jų aptarimą – kitame. Pirmąjį variantą dažniau renkasi studentai ruošiantys bakalauro baigiamąjį darbą. Antrąjį rezultatų aprašymo būdą rekomenduotume rinktis magistrantūros studijų programų baigiamiesiems darbams, nes juose būna daugiau rezultatų, ir todėl tikslinga išskirti jų aptarimą ir detalesnę diskusiją į atskirus skyrius. Rezultatų ir jų aptarimo skyrių apjungimo klausimus būtinai aptarkite su darbo vadovu, nes kai kuriose technologinio pobūdžio programose įprasta šiuos skyrius rašyti kartu tiek bakalauro, tiek ir magistro baigiamuosiuose darbuose.</w:t>
      </w:r>
    </w:p>
    <w:p w14:paraId="04E3CB80" w14:textId="77777777" w:rsidR="003E3C6C" w:rsidRDefault="003E3C6C" w:rsidP="003E3C6C">
      <w:r>
        <w:t>Rezultatai turėtų būti pateikti tokia tvarka, kuri padeda suprasti viso tyrimo logiką ir eigą. Svarbu aprašyti tuos rezultatus, kurie buvo gauti, o ne tuos, kuriuos tikėtasi gauti. Aprašant eksperimentus, nereikia kartoti informacijos, kuri jau buvo pateikta metodų dalyje, užtenka pateikti nuorodas į atitinkamus metodikos poskyrius. Rezultatai turi būti pateikiami aiškiai ir nuosekliai naudojant lenteles, grafikus ar diagramas, kur reikia parodant jų statistinį patikimumą. Šioje darbo dalyje galima pateikti ir apibendrinamąjį poskyrį, kuriame būtų apžvelgti pagrindiniai tyrimo rezultatai.</w:t>
      </w:r>
    </w:p>
    <w:p w14:paraId="32028FD1" w14:textId="77777777" w:rsidR="003E3C6C" w:rsidRDefault="003E3C6C" w:rsidP="003E3C6C">
      <w:r>
        <w:t>Kiekvienas į baigiamąjį rašto darbą įtrauktas paveikslas ar lentelė turi būti aprašyti tekste. Su paveikslais ir lentelėmis susijęs tekstas turėtų būti netoli vienas nuo kito. Metodiniu požiūriu būtų teisingiausia, kad aprašymas apie lentelę ar paveikslą tekste atsirastų pirmiau nei jie patys, tačiau dėl šių objektų matmenų ir dokumento struktūros ypatumų tą pasiekti ne visuomet pavyksta.</w:t>
      </w:r>
    </w:p>
    <w:p w14:paraId="2754261C" w14:textId="77777777" w:rsidR="003E3C6C" w:rsidRDefault="003E3C6C" w:rsidP="003E3C6C">
      <w:r>
        <w:t xml:space="preserve">Pateikus lentelę ar paveikslą, būtina parašyti mažiausiai vieną paaiškinantį ar apibendrinantį sakinį. Rezultatų dėstymą organizuokite taip, kad nereiktų pateikti vienos paskui kitą einančių kelių lentelių ar paveikslų, juos turėtų atskirti tekstinės pastraipos. Kelis susijusius paveikslus pateikite ne atskirai, o kaip vieno paveikslo sudedamąsias dalis, žymimas mažosiomis (a, b, c, ...) arba didžiosiomis (A, B, C, ...) raidėmis. Kai rašto darbe pateikiama lentelė užima daugiau nei vieną puslapį, visuose sekančiuose puslapiuose reikia pakartoti lentelės antraštę, nurodant, kad tai yra „lentelės tęsinys“. Pateikiant rezultatus, nekartokite tos pačios informacijos paveiksluose ir lentelėse – pasirinkite vieną efektyviausią duomenų atvaizdavimo būdą. Darbo tekste taip pat neturėtų būti paraidžiui atkartojama informacija, kuri jau pateikta paveiksluose ar lentelėse. Paveikslus ir lenteles reikia komentuoti, pabrėžiant reikšmingiausią rezultatą. Jei rezultatų ir vaizdinės medžiagos yra labai daug, darbe </w:t>
      </w:r>
      <w:r>
        <w:lastRenderedPageBreak/>
        <w:t>pateikite tik pagrindinius, labiausiai atspindinčius esmę. Kitus rezultatus galite talpinti prieduose arba pateikti nuorodą į jų saugojimo vietą internete.</w:t>
      </w:r>
    </w:p>
    <w:p w14:paraId="6246CA33" w14:textId="77777777" w:rsidR="003E3C6C" w:rsidRDefault="003E3C6C" w:rsidP="003E3C6C">
      <w:r>
        <w:t>Rezultatų aptarimo skyriuje reikia pateikti gautų rezultatų analizę ir interpretaciją, pabandyti atsakyti, kodėl jie tokie gauti bei ką būtų galima patobulinti. Šiame skyriuje svarbu palyginti savo gautus rezultatus su kitų autorių rezultatais, aptarti galimus nesutapimus ar prieštaravimus ir pabandyti paaiškinti jų priežastis. Jei gautus rezultatus galima interpretuoti keletu skirtingų būdų, reikia juos visus aptarti ir nurodyti, kuri alternatyva, autoriaus manymu, yra teisingesnė. Aptarti reikia visus gautus rezultatus, net jei jie yra netikėti arba neigiami. Jei eksperimentas nepavyko, reikia pabandyti paaiškinti, kas buvo blogai ir kaip ateityje būtų galima išvengti tokių problemų, jei tyrimas būtų kartojamas. Šioje dalyje rekomenduojama aptarti darbo metu iškilusias problemas ir jų sprendimo kelius.</w:t>
      </w:r>
    </w:p>
    <w:p w14:paraId="50C7F20C" w14:textId="77777777" w:rsidR="003E3C6C" w:rsidRDefault="003E3C6C" w:rsidP="003E3C6C">
      <w:r>
        <w:t>Rezultatų ir jų aptarimo skyrių pabaigoje rekomenduojame pateikti po vieną juos apibendrinančią pastraipą. Apibendrinančius sakinius verta parašyti ir kiekvieno didesnio poskyrio pabaigoje, nes laikantis tokio stiliaus moksliniai rašto darbai yra daug lengviau suprantami už tuos, kuriuose visų aprašytų rezultatų paaiškinimas ir apibendrinimas paliekamas skaitytojui.</w:t>
      </w:r>
    </w:p>
    <w:p w14:paraId="219DA94D" w14:textId="77777777" w:rsidR="00C95B8C" w:rsidRDefault="00276AEE" w:rsidP="00276AEE">
      <w:pPr>
        <w:pStyle w:val="Heading2"/>
      </w:pPr>
      <w:bookmarkStart w:id="13" w:name="_Toc183621368"/>
      <w:r w:rsidRPr="00276AEE">
        <w:t>Darbo kalba</w:t>
      </w:r>
      <w:bookmarkEnd w:id="13"/>
    </w:p>
    <w:p w14:paraId="3874BAE0" w14:textId="77777777" w:rsidR="00276AEE" w:rsidRDefault="00276AEE" w:rsidP="00276AEE">
      <w:r>
        <w:t>Baigiamasis darbas turi būti parengtas taisyklinga lietuvių arba anglų kalba, neturėtų būti gramatikos, korektūros, stiliaus, netinkamo terminų naudojimo ir kitų klaidų. Angliškai darbas gali būti rašomas, jeigu studentas, vadovas ar konsultantas yra užsienietis arba studijos vykdomos anglų kalba. Rašto darbo kalba turi būti aiški, dėstomų minčių eiga – nuosekli, per ėjimai nuo vieno nagrinėjamo klausimo prie kito – logiški. Darbe turi būti paisoma duomenų atvaizdavimo paveiksluose ir lentelėse gerosios praktikos, dydžių ir vienetų rašybos taisyklių, bibliografinių nuorodų bei jų sąrašo sudarymo reikalavimų. Rašant darbą privalu laikytis bendrųjų lietuvių kalbos kompiuterinio raštingumo taisyklių; pvz., turi būti naudojamos lietuviškos kabutės („ ... “), taisyklingas trumpųjų ir ilgųjų brūkšnių rašymas (pvz., 1918-02-16, liepos 6-oji, −24 °C temperatūros, fermentas – tai ...), tarp sveiko skaičiaus ir jo dešimtainės dalies rašomas ne taškas, bet kablelis</w:t>
      </w:r>
      <w:r w:rsidR="00E933E1">
        <w:t xml:space="preserve"> </w:t>
      </w:r>
      <w:r w:rsidR="00E933E1">
        <w:fldChar w:fldCharType="begin"/>
      </w:r>
      <w:r w:rsidR="00E933E1">
        <w:instrText xml:space="preserve"> ADDIN ZOTERO_ITEM CSL_CITATION {"citationID":"HIdtVkj1","properties":{"formattedCitation":"(Vladarskien\\uc0\\u279{} &amp; Zemlevi\\uc0\\u269{}iut\\uc0\\u279{}, 2022)","plainCitation":"(Vladarskienė &amp; Zemlevičiutė, 2022)","noteIndex":0},"citationItems":[{"id":6014,"uris":["http://zotero.org/users/2219072/items/TQVGZXZ8"],"itemData":{"id":6014,"type":"book","call-number":"PG8613 .L54 2022","event-place":"Vilnius","ISBN":"978-609-411-313-0","number-of-pages":"282","publisher":"Lietuvių kalbos institutas","publisher-place":"Vilnius","source":"Library of Congress ISBN","title":"Lietuvių kalbos rašyba: taisyklės, komentarai, patarimai","title-short":"Lietuvių kalbos rašyba","editor":[{"family":"Vladarskienė","given":"Rasuolė"},{"family":"Zemlevičiutė","given":"Palmira"}],"issued":{"date-parts":[["2022"]]}}}],"schema":"https://github.com/citation-style-language/schema/raw/master/csl-citation.json"} </w:instrText>
      </w:r>
      <w:r w:rsidR="00E933E1">
        <w:fldChar w:fldCharType="separate"/>
      </w:r>
      <w:r w:rsidR="00E933E1" w:rsidRPr="00E933E1">
        <w:rPr>
          <w:rFonts w:cs="Times New Roman"/>
        </w:rPr>
        <w:t>(Vladarskienė &amp; Zemlevičiutė, 2022)</w:t>
      </w:r>
      <w:r w:rsidR="00E933E1">
        <w:fldChar w:fldCharType="end"/>
      </w:r>
      <w:r>
        <w:t>. Lietuvių kalbos naudojimo ir rašybos taisykles bei terminus galite pasitikrinti įvairiuose interneto šaltiniuose.</w:t>
      </w:r>
    </w:p>
    <w:p w14:paraId="7131FD49" w14:textId="77777777" w:rsidR="00276AEE" w:rsidRPr="00276AEE" w:rsidRDefault="00276AEE" w:rsidP="00276AEE">
      <w:r>
        <w:t>Moksliniame rašyme gali būti naudojamos ir veikiamoji ir neveikiamoji rūšys, todėl nesistenkite dirbtinai vengti vieno ar kito rašymo stiliaus</w:t>
      </w:r>
      <w:r w:rsidR="00E933E1">
        <w:t xml:space="preserve"> </w:t>
      </w:r>
      <w:r w:rsidR="00E933E1">
        <w:fldChar w:fldCharType="begin"/>
      </w:r>
      <w:r w:rsidR="00E933E1">
        <w:instrText xml:space="preserve"> ADDIN ZOTERO_ITEM CSL_CITATION {"citationID":"p1ARLMch","properties":{"formattedCitation":"(Ping Alvin, 2014)","plainCitation":"(Ping Alvin, 2014)","noteIndex":0},"citationItems":[{"id":6018,"uris":["http://zotero.org/users/2219072/items/KGVUMH9H"],"itemData":{"id":6018,"type":"article-journal","abstract":"In contrast to past consensus, many authors now feel that the passive voice compromises the quality of scientiﬁc writing. However, studies involving scientiﬁc articles are rare. Using a corpus of 60 scientiﬁc research articles from six journals, this study examined the proportion of passives used, and the contexts and forms in which they occurred. The results revealed that about 30% of all clauses were passive clauses. The canonical form was most pervasive, followed by the bare passive; together, they constituted more than a quarter of all clauses analyzed. Passives were typically used in main clauses, followed by relative and adverbial clauses. Roughly 29% of all passives were located in the methodology section. Based on the results, the proportion of passives in scientiﬁc writing may stabilize at about 30%. It is unlikely to dramatically drop any further since the trend suggests that passives are still widely used in the methodology section.","container-title":"Journal of Science Communication","DOI":"10.22323/2.13010203","ISSN":"1824-2049","issue":"01","journalAbbreviation":"JCOM","language":"en","note":"number: 01","page":"A03","source":"DOI.org (Crossref)","title":"The passive voice in scientific writing. The current norm in science journals","volume":"13","author":[{"family":"Ping Alvin","given":"Leong"}],"issued":{"date-parts":[["2014"]]}}}],"schema":"https://github.com/citation-style-language/schema/raw/master/csl-citation.json"} </w:instrText>
      </w:r>
      <w:r w:rsidR="00E933E1">
        <w:fldChar w:fldCharType="separate"/>
      </w:r>
      <w:r w:rsidR="00E933E1" w:rsidRPr="00E933E1">
        <w:rPr>
          <w:rFonts w:cs="Times New Roman"/>
        </w:rPr>
        <w:t>(Ping Alvin, 2014)</w:t>
      </w:r>
      <w:r w:rsidR="00E933E1">
        <w:fldChar w:fldCharType="end"/>
      </w:r>
      <w:r>
        <w:t xml:space="preserve">. Pagrindinė mokslinio rašytojo užduotis yra perteikti mokslinę informaciją objektyviai, aiškiai, glaustai ir suprantamai, o stiliaus pasirinkimas priklauso nuo siekiamų rašymo tikslų. Baigiamuosiuose darbuose įvado, literatūros apžvalgos, rezultatų bei diskusijų skyreliai gali būti rašomi pakaitomis naudojant veikiamąją ir neveikiamąją formas, o metodų skyrelį efektyviau parašysite naudodami neveikiamąją rūšį, nes jame tai, kas buvo padaryta, yra svarbiau už tyrimą atlikusius asmenis. Neveikiamoji rūšis literatūros apžvalgoje </w:t>
      </w:r>
      <w:r>
        <w:lastRenderedPageBreak/>
        <w:t>taip pat gali būti labai reikalinga (pvz., jei aprašydami tyrimą negalite įvardinti veiksmo atlikėjo, nes jis yra nežinomas, nesvarbus, arba jų yra labai daug). Apibendrinant, moksliniame rašyme šiuo klausimu nėra griežtų taisyklių, todėl rašto darbuose jūs turite patys pasirinkti, kokiu stiliumi rašyti. Rekomenduojame šį klausimą aptarti ir su savo darbo vadovu.</w:t>
      </w:r>
    </w:p>
    <w:p w14:paraId="25CED886" w14:textId="77777777" w:rsidR="00791894" w:rsidRDefault="00FF6931" w:rsidP="00FF6931">
      <w:pPr>
        <w:pStyle w:val="Heading2"/>
      </w:pPr>
      <w:bookmarkStart w:id="14" w:name="_Toc183621369"/>
      <w:r w:rsidRPr="00FF6931">
        <w:t>Lentelės ir paveikslai</w:t>
      </w:r>
      <w:bookmarkEnd w:id="14"/>
    </w:p>
    <w:p w14:paraId="0B556207" w14:textId="77777777" w:rsidR="004D277A" w:rsidRDefault="004D277A" w:rsidP="004D277A">
      <w:r>
        <w:t>Lentelės ir paveikslai baigiamuosiuose rašto darbuose naudojami vizualizuoti duomenis ir tiriamuosius procesus. Kiekvienas paveikslas ir lentelė privalo turėti antraštę, kurią sudaro numeris ir pa-vadinimas. Antraštės pabaigoje taškas nerašomas. Numeris būtinas net ir tuo atveju jei rašto darbe yra tik viena lentelė ar vienas paveikslas. Numeracijai paprastai naudojami arabiški skaitmenys, lentelių ir paveikslų numeracija yra atskira, todėl, pvz., darbe gali būti „1 lentelė“ ir „1 paveikslas“. Jei rašto darbe yra daug lentelių ar paveikslų, jų numeracija gali būti susieta su dėstomųjų dalių numeriais (pvz., literatūros apžvalgos paveikslai – 1.1, 1.2, rezultatų – 2.1, 2.2 ir t.t.). Lentelių antraštės yra rašomos virš lentelės, o paveikslų – po jais. Lentelėse ir jų pavadinimuose bei pastabose naudokite viengubą tarpą tarp eilučių. Lenteles ir paveikslus į tekstą stenkitės įterpti po pastraipos, kurioje jie yra pirmą kartą minimi. Tai padaryti ne visuomet pavyksta, jei įterpiamas objektas yra didelis ir netelpa į likusią puslapio dalį. Tokiu atveju paveikslas ar lentelė turėtų būti įterpiamas artimiausio naujo puslapio pradžioje. Neturėtumėte pradėti skyriaus ar poskyrio lentele arba paveikslu. Jeigu darbe spausdinamos lentelės turi daug skilčių ir netelpa išilginiame lape, toks lapas turėtų būti formatuojamas gulsčiai. Didelės apimties lenteles rekomenduojame pateikti prieduose, tekste pateikiant tik nuorodas į jas.</w:t>
      </w:r>
    </w:p>
    <w:p w14:paraId="659E55BF" w14:textId="77777777" w:rsidR="004D277A" w:rsidRDefault="004D277A" w:rsidP="004D277A">
      <w:r>
        <w:t>Baigiamuosiuose rašto darbuose yra laikoma, kad visos lentelės ir paveikslai, neturintys nurodytų šaltinių, yra sudaryti darbo autoriaus. Jei pateikiama lentelė, paveikslas ar jų fragmentai yra paimti iš kitų šaltinių, būtina nurodyti jų pirminę autorystę tinkamai pacituojant. Jei darbe pateikiate paveikslą, kuris yra jūsų pačių perdarytas kito paveikslo pagrindu (pvz., vietoje trijų duomenų kreivių diagramoje pateikėte dvi, arba angliškus teksto elementus brėžinyje pakeitėte lietuviškais), tokiu atveju turite nurodyti, kad paveikslas yra adaptuotas nurodant ir tinkamą šaltinį.</w:t>
      </w:r>
    </w:p>
    <w:p w14:paraId="064C6ADD" w14:textId="31B16F86" w:rsidR="00FF6931" w:rsidRDefault="004D277A" w:rsidP="004D277A">
      <w:r>
        <w:t>Paveikslų ir lentelių naudojimas rašto darbe turėtų būti apgalvotas ir pagrįstas, informacija juose turi būti aiškiai įskaitoma. Tekste vaizdinė medžiaga tik komentuojama, aptariama ir paaiškinama, lentelėse ir paveiksluose esanti informacija daugiau nedubliuojama. Jei tikslinga duomenų vaizdavimo aiškumui, skaitmenis lentelėse galite išdėstyti taip, kad atitinkamos skaičių grupės stulpeliuose būtų tiksliai viena po kita. Lentelėse nenaudokite perteklinės ar neesminės informacijos. Pvz., nerekomenduojama naudoti tokių skilčių kaip „Eilės numeris“ ar „Matavimo vienetai“. Jei reikia, matavimo vienetai turėtų būti nurodomi skliausteliuose lentelės skilčių pavadinimuose, pvz., ∆</w:t>
      </w:r>
      <w:r w:rsidRPr="00E933E1">
        <w:rPr>
          <w:i/>
        </w:rPr>
        <w:t>H</w:t>
      </w:r>
      <w:r>
        <w:t xml:space="preserve"> (</w:t>
      </w:r>
      <w:proofErr w:type="spellStart"/>
      <w:r>
        <w:t>kJ</w:t>
      </w:r>
      <w:proofErr w:type="spellEnd"/>
      <w:r>
        <w:t> / </w:t>
      </w:r>
      <w:proofErr w:type="spellStart"/>
      <w:r>
        <w:t>mol</w:t>
      </w:r>
      <w:proofErr w:type="spellEnd"/>
      <w:r>
        <w:t xml:space="preserve">). Lentelių ar paveikslų aprašuose turi būti paaiškinami visi tekste nepaminėti žymėjimai, </w:t>
      </w:r>
      <w:r>
        <w:lastRenderedPageBreak/>
        <w:t xml:space="preserve">kad lentelės ir paveiks-lai bent iš dalies būtų suprantami neskaitant jų paaiškinimų tekste. Pateikiant eksperimento rezultatus paveiksle, jo apraše galima paminėti, kokiu metodu yra gauti eksperimento rezultatai. Duomenų pateikimo pavyzdys yra parodytas </w:t>
      </w:r>
      <w:r w:rsidR="005B1AC2" w:rsidRPr="00A55622">
        <w:fldChar w:fldCharType="begin"/>
      </w:r>
      <w:r w:rsidR="005B1AC2" w:rsidRPr="00A55622">
        <w:instrText xml:space="preserve"> REF _Ref183375442 \h </w:instrText>
      </w:r>
      <w:r w:rsidR="0015238F" w:rsidRPr="00A55622">
        <w:instrText xml:space="preserve"> \* MERGEFORMAT </w:instrText>
      </w:r>
      <w:r w:rsidR="005B1AC2" w:rsidRPr="00A55622">
        <w:fldChar w:fldCharType="separate"/>
      </w:r>
      <w:r w:rsidR="00397166" w:rsidRPr="00397166">
        <w:rPr>
          <w:noProof/>
        </w:rPr>
        <w:t>1</w:t>
      </w:r>
      <w:r w:rsidR="005B1AC2" w:rsidRPr="00A55622">
        <w:fldChar w:fldCharType="end"/>
      </w:r>
      <w:r>
        <w:t xml:space="preserve"> lentelėje.</w:t>
      </w:r>
    </w:p>
    <w:bookmarkStart w:id="15" w:name="_Ref183375442"/>
    <w:p w14:paraId="3CAC5808" w14:textId="77777777" w:rsidR="004D277A" w:rsidRPr="005B1AC2" w:rsidRDefault="004D277A" w:rsidP="007F48D2">
      <w:pPr>
        <w:pStyle w:val="Lentelspavadinimas"/>
        <w:ind w:left="993" w:hanging="993"/>
        <w:rPr>
          <w:szCs w:val="24"/>
        </w:rPr>
      </w:pPr>
      <w:r w:rsidRPr="00397166">
        <w:rPr>
          <w:szCs w:val="24"/>
        </w:rPr>
        <w:fldChar w:fldCharType="begin"/>
      </w:r>
      <w:r w:rsidRPr="00397166">
        <w:rPr>
          <w:szCs w:val="24"/>
        </w:rPr>
        <w:instrText xml:space="preserve"> SEQ lentelė \* ARABIC </w:instrText>
      </w:r>
      <w:r w:rsidRPr="00397166">
        <w:rPr>
          <w:szCs w:val="24"/>
        </w:rPr>
        <w:fldChar w:fldCharType="separate"/>
      </w:r>
      <w:r w:rsidR="00812ABA" w:rsidRPr="00397166">
        <w:rPr>
          <w:noProof/>
          <w:szCs w:val="24"/>
        </w:rPr>
        <w:t>1</w:t>
      </w:r>
      <w:r w:rsidRPr="00397166">
        <w:rPr>
          <w:szCs w:val="24"/>
        </w:rPr>
        <w:fldChar w:fldCharType="end"/>
      </w:r>
      <w:bookmarkEnd w:id="15"/>
      <w:r w:rsidRPr="00397166">
        <w:rPr>
          <w:szCs w:val="24"/>
        </w:rPr>
        <w:t xml:space="preserve"> </w:t>
      </w:r>
      <w:r w:rsidR="00E405A8" w:rsidRPr="00397166">
        <w:rPr>
          <w:szCs w:val="24"/>
        </w:rPr>
        <w:t>lentelė</w:t>
      </w:r>
      <w:r w:rsidR="00E405A8">
        <w:rPr>
          <w:szCs w:val="24"/>
        </w:rPr>
        <w:t xml:space="preserve">. </w:t>
      </w:r>
      <w:r w:rsidR="005B1AC2" w:rsidRPr="00075A8A">
        <w:t xml:space="preserve">Iš </w:t>
      </w:r>
      <w:r w:rsidR="005B1AC2" w:rsidRPr="005B1AC2">
        <w:t>PLBD</w:t>
      </w:r>
      <w:r w:rsidR="005B1AC2" w:rsidRPr="00075A8A">
        <w:t xml:space="preserve"> duomenų bazės atrinkti junginiai, kurie pasižymėjo didžiausiu stebimuoju giminingumu (</w:t>
      </w:r>
      <w:proofErr w:type="spellStart"/>
      <w:r w:rsidR="005B1AC2" w:rsidRPr="00075A8A">
        <w:rPr>
          <w:i/>
        </w:rPr>
        <w:t>K</w:t>
      </w:r>
      <w:r w:rsidR="005B1AC2" w:rsidRPr="00075A8A">
        <w:rPr>
          <w:vertAlign w:val="subscript"/>
        </w:rPr>
        <w:t>d,obs</w:t>
      </w:r>
      <w:proofErr w:type="spellEnd"/>
      <w:r w:rsidR="005B1AC2" w:rsidRPr="00075A8A">
        <w:t xml:space="preserve">) </w:t>
      </w:r>
      <w:proofErr w:type="spellStart"/>
      <w:r w:rsidR="005B1AC2" w:rsidRPr="00075A8A">
        <w:t>karboanhidrazės</w:t>
      </w:r>
      <w:proofErr w:type="spellEnd"/>
      <w:r w:rsidR="005B1AC2" w:rsidRPr="00075A8A">
        <w:t xml:space="preserve"> baltymo (CA) </w:t>
      </w:r>
      <w:proofErr w:type="spellStart"/>
      <w:r w:rsidR="005B1AC2" w:rsidRPr="00075A8A">
        <w:t>izoformoms</w:t>
      </w:r>
      <w:proofErr w:type="spellEnd"/>
      <w:r w:rsidR="005B1AC2" w:rsidRPr="00075A8A">
        <w:t>. Atitinkami tikrieji giminingumo įverčiai (</w:t>
      </w:r>
      <w:proofErr w:type="spellStart"/>
      <w:r w:rsidR="005B1AC2" w:rsidRPr="00075A8A">
        <w:rPr>
          <w:i/>
        </w:rPr>
        <w:t>K</w:t>
      </w:r>
      <w:r w:rsidR="005B1AC2" w:rsidRPr="00075A8A">
        <w:rPr>
          <w:vertAlign w:val="subscript"/>
        </w:rPr>
        <w:t>d,int</w:t>
      </w:r>
      <w:proofErr w:type="spellEnd"/>
      <w:r w:rsidR="005B1AC2" w:rsidRPr="00075A8A">
        <w:t>) buvo apskaičiuoti pagal</w:t>
      </w:r>
      <w:r w:rsidR="00E933E1">
        <w:t xml:space="preserve"> </w:t>
      </w:r>
      <w:r w:rsidR="00E933E1">
        <w:fldChar w:fldCharType="begin"/>
      </w:r>
      <w:r w:rsidR="00E933E1">
        <w:instrText xml:space="preserve"> ADDIN ZOTERO_ITEM CSL_CITATION {"citationID":"ct9SABVt","properties":{"formattedCitation":"(Linkuvien\\uc0\\u279{} ir kt., 2018)","plainCitation":"(Linkuvienė ir kt., 2018)","noteIndex":0},"citationItems":[{"id":5984,"uris":["http://zotero.org/users/2219072/items/ZE9A4E2F"],"itemData":{"id":5984,"type":"article-journal","abstract":", The aim of rational drug design is to develop small molecules using a quantitative approach to optimize affinity. This should enhance the development of chemical compounds that would specifically, selectively, reversibly, and with high affinity interact with a target protein. It is not yet possible to develop such compounds using computational (i.e., in silico) approach and instead the lead molecules are discovered in high-throughput screening searches of large compound libraries. The main reason why in silico methods are not capable to deliver is our poor understanding of the compound structure–thermodynamics and structure–kinetics correlations. There is a need for databases of intrinsic binding parameters (e.g., the change upon binding in standard Gibbs energy (ΔGint), enthalpy (ΔHint), entropy (ΔSint), volume (ΔVintr), heat capacity (ΔCp,int), association rate (ka,int), and dissociation rate (kd,int)) between a series of closely related proteins and a chemically diverse, but pharmacophoric group-guided library of compounds together with the co-crystal structures that could help explain the structure–energetics correlations and rationally design novel compounds. Assembly of these data will facilitate attempts to provide correlations and train data for modeling of compound binding. Here, we report large datasets of the intrinsic thermodynamic and kinetic data including over 400 primary sulfonamide compound binding to a family of 12 catalytically active human carbonic anhydrases (CA). Thermodynamic parameters have been determined by the fluorescent thermal shift assay, isothermal titration calorimetry, and by the stopped-flow assay of the inhibition of enzymatic activity. Kinetic measurements were performed using surface plasmon resonance. Intrinsic thermodynamic and kinetic parameters of binding were determined by dissecting the binding-linked protonation reactions of the protein and sulfonamide. The compound structure–thermodynamics and kinetics correlations reported here helped to discover compounds that exhibited picomolar affinities, hour-long residence times, and million-fold selectivities over non-target CA isoforms. Drug-lead compounds are suggested for anticancer target CA IX and CA XII, antiglaucoma CA IV, antiobesity CA VA and CA VB, and other isoforms. Together with 85 X-ray crystallographic structures of 60 compounds bound to six CA isoforms, the database should be of help to continue developing the principles of rational target-based drug design.","container-title":"Quarterly Reviews of Biophysics","DOI":"10.1017/S0033583518000082","ISSN":"0033-5835, 1469-8994","journalAbbreviation":"Q. Rev. Biophys.","language":"en","license":"All rights reserved","note":"Citation Key: Linkuviene2018","page":"1-48","source":"Cambridge Core","title":"Thermodynamic, kinetic, and structural parameterization of human carbonic anhydrase interactions toward enhanced inhibitor design","volume":"51","author":[{"family":"Linkuvienė","given":"Vaida"},{"family":"Zubrienė","given":"Asta"},{"family":"Manakova","given":"Elena"},{"family":"Petrauskas","given":"Vytautas"},{"family":"Baranauskienė","given":"Lina"},{"family":"Zakšauskas","given":"Audrius"},{"family":"Smirnov","given":"Alexey"},{"family":"Gražulis","given":"Saulius"},{"family":"Ladbury","given":"John E."},{"family":"Matulis","given":"Daumantas"}],"issued":{"date-parts":[["2018"]]}}}],"schema":"https://github.com/citation-style-language/schema/raw/master/csl-citation.json"} </w:instrText>
      </w:r>
      <w:r w:rsidR="00E933E1">
        <w:fldChar w:fldCharType="separate"/>
      </w:r>
      <w:r w:rsidR="00E933E1" w:rsidRPr="00E933E1">
        <w:rPr>
          <w:rFonts w:cs="Times New Roman"/>
          <w:szCs w:val="24"/>
        </w:rPr>
        <w:t>Linkuvienė ir kt.</w:t>
      </w:r>
      <w:r w:rsidR="00E933E1">
        <w:rPr>
          <w:rFonts w:cs="Times New Roman"/>
          <w:szCs w:val="24"/>
        </w:rPr>
        <w:t xml:space="preserve"> (</w:t>
      </w:r>
      <w:r w:rsidR="00E933E1" w:rsidRPr="00E933E1">
        <w:rPr>
          <w:rFonts w:cs="Times New Roman"/>
          <w:szCs w:val="24"/>
        </w:rPr>
        <w:t>2018)</w:t>
      </w:r>
      <w:r w:rsidR="00E933E1">
        <w:fldChar w:fldCharType="end"/>
      </w:r>
      <w:r w:rsidR="005B1AC2" w:rsidRPr="00075A8A">
        <w:t xml:space="preserve"> straipsnyje pateiktą metodiką. Visos vertės nustatytos 37 °C temperatūroje. Lentelė sudaryta remiantis </w:t>
      </w:r>
      <w:r w:rsidR="00E933E1">
        <w:fldChar w:fldCharType="begin"/>
      </w:r>
      <w:r w:rsidR="00E933E1">
        <w:instrText xml:space="preserve"> ADDIN ZOTERO_ITEM CSL_CITATION {"citationID":"1OqKyV6C","properties":{"formattedCitation":"(Ling\\uc0\\u279{} ir kt., 2023)","plainCitation":"(Lingė ir kt., 2023)","noteIndex":0},"citationItems":[{"id":6002,"uris":["http://zotero.org/users/2219072/items/D76NBEU7"],"itemData":{"id":6002,"type":"article-journal","abstract":"We introduce a protein–ligand binding database (PLBD) that presents thermodynamic and kinetic data of reversible protein interactions with small molecule compounds. The manually curated binding data are linked to protein–ligand crystal structures, enabling structure–thermodynamics correlations to be determined. The database contains over 5500 binding datasets of 556 sulfonamide compound interactions with the 12 catalytically active human carbonic anhydrase isozymes defined by fluorescent thermal shift assay, isothermal titration calorimetry, inhibition of enzymatic activity and surface plasmon resonance. In the PLBD, the intrinsic thermodynamic parameters of interactions are provided, which account for the binding-linked protonation reactions. In addition to the protein–ligand binding affinities, the database provides calorimetrically measured binding enthalpies, providing additional mechanistic understanding. The PLBD can be applied to investigations of protein–ligand recognition and could be integrated into small molecule drug design.Database URLhttps://plbd.org/","container-title":"Database","DOI":"10.1093/database/baad040","ISSN":"1758-0463","journalAbbreviation":"Database","page":"baad040","source":"Silverchair","title":"PLBD: protein–ligand binding database of thermodynamic and kinetic intrinsic parameters","title-short":"PLBD","volume":"2023","author":[{"family":"Lingė","given":"Darius"},{"family":"Gedgaudas","given":"Marius"},{"family":"Merkys","given":"Andrius"},{"family":"Petrauskas","given":"Vytautas"},{"family":"Vaitkus","given":"Antanas"},{"family":"Grybauskas","given":"Algirdas"},{"family":"Paketurytė","given":"Vaida"},{"family":"Zubrienė","given":"Asta"},{"family":"Zakšauskas","given":"Audrius"},{"family":"Mickevičiūtė","given":"Aurelija"},{"family":"Smirnovienė","given":"Joana"},{"family":"Baranauskienė","given":"Lina"},{"family":"Čapkauskaitė","given":"Edita"},{"family":"Dudutienė","given":"Virginija"},{"family":"Urniežius","given":"Ernestas"},{"family":"Konovalovas","given":"Aleksandras"},{"family":"Kazlauskas","given":"Egidijus"},{"family":"Shubin","given":"Kirill"},{"family":"Schiöth","given":"Helgi B"},{"family":"Chen","given":"Wen-Yih"},{"family":"Ladbury","given":"John E"},{"family":"Gražulis","given":"Saulius"},{"family":"Matulis","given":"Daumantas"}],"issued":{"date-parts":[["2023"]]}}}],"schema":"https://github.com/citation-style-language/schema/raw/master/csl-citation.json"} </w:instrText>
      </w:r>
      <w:r w:rsidR="00E933E1">
        <w:fldChar w:fldCharType="separate"/>
      </w:r>
      <w:r w:rsidR="00E933E1" w:rsidRPr="00E933E1">
        <w:rPr>
          <w:rFonts w:cs="Times New Roman"/>
          <w:szCs w:val="24"/>
        </w:rPr>
        <w:t>Lingė</w:t>
      </w:r>
      <w:r w:rsidR="00E933E1">
        <w:rPr>
          <w:rFonts w:cs="Times New Roman"/>
          <w:szCs w:val="24"/>
        </w:rPr>
        <w:t xml:space="preserve"> ir kt.</w:t>
      </w:r>
      <w:r w:rsidR="00E933E1" w:rsidRPr="00E933E1">
        <w:rPr>
          <w:rFonts w:cs="Times New Roman"/>
          <w:szCs w:val="24"/>
        </w:rPr>
        <w:t xml:space="preserve"> </w:t>
      </w:r>
      <w:r w:rsidR="00E933E1">
        <w:rPr>
          <w:rFonts w:cs="Times New Roman"/>
          <w:szCs w:val="24"/>
        </w:rPr>
        <w:t>(</w:t>
      </w:r>
      <w:r w:rsidR="00E933E1" w:rsidRPr="00E933E1">
        <w:rPr>
          <w:rFonts w:cs="Times New Roman"/>
          <w:szCs w:val="24"/>
        </w:rPr>
        <w:t>2023)</w:t>
      </w:r>
      <w:r w:rsidR="00E933E1">
        <w:fldChar w:fldCharType="end"/>
      </w:r>
      <w:r w:rsidR="005B1AC2" w:rsidRPr="00075A8A">
        <w:t xml:space="preserve"> straipsniu.</w:t>
      </w:r>
    </w:p>
    <w:tbl>
      <w:tblPr>
        <w:tblW w:w="9781" w:type="dxa"/>
        <w:jc w:val="center"/>
        <w:tblLayout w:type="fixed"/>
        <w:tblCellMar>
          <w:left w:w="10" w:type="dxa"/>
          <w:right w:w="10" w:type="dxa"/>
        </w:tblCellMar>
        <w:tblLook w:val="04A0" w:firstRow="1" w:lastRow="0" w:firstColumn="1" w:lastColumn="0" w:noHBand="0" w:noVBand="1"/>
      </w:tblPr>
      <w:tblGrid>
        <w:gridCol w:w="2409"/>
        <w:gridCol w:w="2410"/>
        <w:gridCol w:w="2410"/>
        <w:gridCol w:w="2552"/>
      </w:tblGrid>
      <w:tr w:rsidR="004D277A" w14:paraId="26B79A33" w14:textId="77777777" w:rsidTr="000D126D">
        <w:trPr>
          <w:jc w:val="center"/>
        </w:trPr>
        <w:tc>
          <w:tcPr>
            <w:tcW w:w="2409" w:type="dxa"/>
            <w:shd w:val="clear" w:color="auto" w:fill="7B003F"/>
            <w:tcMar>
              <w:top w:w="55" w:type="dxa"/>
              <w:left w:w="55" w:type="dxa"/>
              <w:bottom w:w="55" w:type="dxa"/>
              <w:right w:w="55" w:type="dxa"/>
            </w:tcMar>
            <w:vAlign w:val="center"/>
          </w:tcPr>
          <w:p w14:paraId="3ABA0A24" w14:textId="77777777" w:rsidR="004D277A" w:rsidRDefault="004D277A" w:rsidP="000D126D">
            <w:pPr>
              <w:pStyle w:val="TableContents"/>
              <w:jc w:val="left"/>
            </w:pPr>
            <w:r>
              <w:t>Baltymas</w:t>
            </w:r>
          </w:p>
        </w:tc>
        <w:tc>
          <w:tcPr>
            <w:tcW w:w="2410" w:type="dxa"/>
            <w:shd w:val="clear" w:color="auto" w:fill="7B003F"/>
            <w:tcMar>
              <w:top w:w="55" w:type="dxa"/>
              <w:left w:w="55" w:type="dxa"/>
              <w:bottom w:w="55" w:type="dxa"/>
              <w:right w:w="55" w:type="dxa"/>
            </w:tcMar>
            <w:vAlign w:val="center"/>
          </w:tcPr>
          <w:p w14:paraId="0E23DBC0" w14:textId="77777777" w:rsidR="004D277A" w:rsidRDefault="004D277A" w:rsidP="00A4509D">
            <w:pPr>
              <w:pStyle w:val="TableContents"/>
            </w:pPr>
            <w:r>
              <w:t>Junginys</w:t>
            </w:r>
          </w:p>
        </w:tc>
        <w:tc>
          <w:tcPr>
            <w:tcW w:w="2410" w:type="dxa"/>
            <w:shd w:val="clear" w:color="auto" w:fill="7B003F"/>
            <w:tcMar>
              <w:top w:w="55" w:type="dxa"/>
              <w:left w:w="55" w:type="dxa"/>
              <w:bottom w:w="55" w:type="dxa"/>
              <w:right w:w="55" w:type="dxa"/>
            </w:tcMar>
            <w:vAlign w:val="center"/>
          </w:tcPr>
          <w:p w14:paraId="10B211F8" w14:textId="77777777" w:rsidR="004D277A" w:rsidRDefault="004D277A" w:rsidP="00A4509D">
            <w:pPr>
              <w:pStyle w:val="TableContents"/>
            </w:pPr>
            <w:proofErr w:type="spellStart"/>
            <w:r>
              <w:rPr>
                <w:i/>
                <w:iCs/>
              </w:rPr>
              <w:t>K</w:t>
            </w:r>
            <w:r>
              <w:rPr>
                <w:vertAlign w:val="subscript"/>
              </w:rPr>
              <w:t>d,obs</w:t>
            </w:r>
            <w:proofErr w:type="spellEnd"/>
            <w:r>
              <w:t xml:space="preserve"> (</w:t>
            </w:r>
            <w:proofErr w:type="spellStart"/>
            <w:r>
              <w:t>nM</w:t>
            </w:r>
            <w:proofErr w:type="spellEnd"/>
            <w:r>
              <w:t>)</w:t>
            </w:r>
          </w:p>
        </w:tc>
        <w:tc>
          <w:tcPr>
            <w:tcW w:w="2552" w:type="dxa"/>
            <w:shd w:val="clear" w:color="auto" w:fill="7B003F"/>
            <w:tcMar>
              <w:top w:w="55" w:type="dxa"/>
              <w:left w:w="55" w:type="dxa"/>
              <w:bottom w:w="55" w:type="dxa"/>
              <w:right w:w="55" w:type="dxa"/>
            </w:tcMar>
            <w:vAlign w:val="center"/>
          </w:tcPr>
          <w:p w14:paraId="1A6819EF" w14:textId="77777777" w:rsidR="004D277A" w:rsidRDefault="004D277A" w:rsidP="00A4509D">
            <w:pPr>
              <w:pStyle w:val="TableContents"/>
            </w:pPr>
            <w:proofErr w:type="spellStart"/>
            <w:r>
              <w:rPr>
                <w:i/>
                <w:iCs/>
              </w:rPr>
              <w:t>K</w:t>
            </w:r>
            <w:r>
              <w:rPr>
                <w:vertAlign w:val="subscript"/>
              </w:rPr>
              <w:t>d,int</w:t>
            </w:r>
            <w:proofErr w:type="spellEnd"/>
            <w:r>
              <w:t xml:space="preserve"> (</w:t>
            </w:r>
            <w:proofErr w:type="spellStart"/>
            <w:r>
              <w:t>nM</w:t>
            </w:r>
            <w:proofErr w:type="spellEnd"/>
            <w:r>
              <w:t>)</w:t>
            </w:r>
          </w:p>
        </w:tc>
      </w:tr>
      <w:tr w:rsidR="004D277A" w14:paraId="1C50FA0F" w14:textId="77777777" w:rsidTr="000D126D">
        <w:trPr>
          <w:jc w:val="center"/>
        </w:trPr>
        <w:tc>
          <w:tcPr>
            <w:tcW w:w="2409" w:type="dxa"/>
            <w:shd w:val="clear" w:color="auto" w:fill="auto"/>
            <w:tcMar>
              <w:top w:w="55" w:type="dxa"/>
              <w:left w:w="55" w:type="dxa"/>
              <w:bottom w:w="55" w:type="dxa"/>
              <w:right w:w="55" w:type="dxa"/>
            </w:tcMar>
            <w:vAlign w:val="center"/>
          </w:tcPr>
          <w:p w14:paraId="6CA36F17" w14:textId="77777777" w:rsidR="004D277A" w:rsidRDefault="004D277A" w:rsidP="00A4509D">
            <w:pPr>
              <w:pStyle w:val="TableContents"/>
            </w:pPr>
            <w:r>
              <w:t>CA I</w:t>
            </w:r>
          </w:p>
        </w:tc>
        <w:tc>
          <w:tcPr>
            <w:tcW w:w="2410" w:type="dxa"/>
            <w:shd w:val="clear" w:color="auto" w:fill="auto"/>
            <w:tcMar>
              <w:top w:w="55" w:type="dxa"/>
              <w:left w:w="55" w:type="dxa"/>
              <w:bottom w:w="55" w:type="dxa"/>
              <w:right w:w="55" w:type="dxa"/>
            </w:tcMar>
            <w:vAlign w:val="center"/>
          </w:tcPr>
          <w:p w14:paraId="54E9BA05" w14:textId="77777777" w:rsidR="004D277A" w:rsidRDefault="004D277A" w:rsidP="00A4509D">
            <w:pPr>
              <w:pStyle w:val="TableContents"/>
            </w:pPr>
            <w:r>
              <w:t>VD11-61</w:t>
            </w:r>
          </w:p>
        </w:tc>
        <w:tc>
          <w:tcPr>
            <w:tcW w:w="2410" w:type="dxa"/>
            <w:shd w:val="clear" w:color="auto" w:fill="auto"/>
            <w:tcMar>
              <w:top w:w="55" w:type="dxa"/>
              <w:left w:w="55" w:type="dxa"/>
              <w:bottom w:w="55" w:type="dxa"/>
              <w:right w:w="55" w:type="dxa"/>
            </w:tcMar>
            <w:vAlign w:val="center"/>
          </w:tcPr>
          <w:p w14:paraId="2592249D" w14:textId="77777777" w:rsidR="004D277A" w:rsidRDefault="004D277A" w:rsidP="00A4509D">
            <w:pPr>
              <w:pStyle w:val="TableContents"/>
            </w:pPr>
            <w:r>
              <w:t>25</w:t>
            </w:r>
          </w:p>
        </w:tc>
        <w:tc>
          <w:tcPr>
            <w:tcW w:w="2552" w:type="dxa"/>
            <w:shd w:val="clear" w:color="auto" w:fill="auto"/>
            <w:tcMar>
              <w:top w:w="55" w:type="dxa"/>
              <w:left w:w="55" w:type="dxa"/>
              <w:bottom w:w="55" w:type="dxa"/>
              <w:right w:w="55" w:type="dxa"/>
            </w:tcMar>
            <w:vAlign w:val="center"/>
          </w:tcPr>
          <w:p w14:paraId="729369DB" w14:textId="77777777" w:rsidR="004D277A" w:rsidRDefault="004D277A" w:rsidP="00A4509D">
            <w:pPr>
              <w:pStyle w:val="TableContents"/>
            </w:pPr>
            <w:r>
              <w:t>0,000</w:t>
            </w:r>
            <w:r>
              <w:rPr>
                <w:rFonts w:cs="Times New Roman"/>
              </w:rPr>
              <w:t> </w:t>
            </w:r>
            <w:r>
              <w:t>66</w:t>
            </w:r>
          </w:p>
        </w:tc>
      </w:tr>
      <w:tr w:rsidR="004D277A" w14:paraId="3D45F2C9" w14:textId="77777777" w:rsidTr="000D126D">
        <w:trPr>
          <w:jc w:val="center"/>
        </w:trPr>
        <w:tc>
          <w:tcPr>
            <w:tcW w:w="2409" w:type="dxa"/>
            <w:shd w:val="clear" w:color="auto" w:fill="DDDDDD"/>
            <w:tcMar>
              <w:top w:w="55" w:type="dxa"/>
              <w:left w:w="55" w:type="dxa"/>
              <w:bottom w:w="55" w:type="dxa"/>
              <w:right w:w="55" w:type="dxa"/>
            </w:tcMar>
            <w:vAlign w:val="center"/>
          </w:tcPr>
          <w:p w14:paraId="6995E2E5" w14:textId="77777777" w:rsidR="004D277A" w:rsidRDefault="004D277A" w:rsidP="00A4509D">
            <w:pPr>
              <w:pStyle w:val="TableContents"/>
            </w:pPr>
            <w:r>
              <w:t>CA II</w:t>
            </w:r>
          </w:p>
        </w:tc>
        <w:tc>
          <w:tcPr>
            <w:tcW w:w="2410" w:type="dxa"/>
            <w:shd w:val="clear" w:color="auto" w:fill="DDDDDD"/>
            <w:tcMar>
              <w:top w:w="55" w:type="dxa"/>
              <w:left w:w="55" w:type="dxa"/>
              <w:bottom w:w="55" w:type="dxa"/>
              <w:right w:w="55" w:type="dxa"/>
            </w:tcMar>
            <w:vAlign w:val="center"/>
          </w:tcPr>
          <w:p w14:paraId="362E560A" w14:textId="77777777" w:rsidR="004D277A" w:rsidRDefault="004D277A" w:rsidP="00A4509D">
            <w:pPr>
              <w:pStyle w:val="TableContents"/>
            </w:pPr>
            <w:r>
              <w:t>VD10-49</w:t>
            </w:r>
          </w:p>
        </w:tc>
        <w:tc>
          <w:tcPr>
            <w:tcW w:w="2410" w:type="dxa"/>
            <w:shd w:val="clear" w:color="auto" w:fill="DDDDDD"/>
            <w:tcMar>
              <w:top w:w="55" w:type="dxa"/>
              <w:left w:w="55" w:type="dxa"/>
              <w:bottom w:w="55" w:type="dxa"/>
              <w:right w:w="55" w:type="dxa"/>
            </w:tcMar>
            <w:vAlign w:val="center"/>
          </w:tcPr>
          <w:p w14:paraId="2AA79839" w14:textId="77777777" w:rsidR="004D277A" w:rsidRDefault="004D277A" w:rsidP="00A4509D">
            <w:pPr>
              <w:pStyle w:val="TableContents"/>
            </w:pPr>
            <w:r>
              <w:t>0,79</w:t>
            </w:r>
          </w:p>
        </w:tc>
        <w:tc>
          <w:tcPr>
            <w:tcW w:w="2552" w:type="dxa"/>
            <w:shd w:val="clear" w:color="auto" w:fill="DDDDDD"/>
            <w:tcMar>
              <w:top w:w="55" w:type="dxa"/>
              <w:left w:w="55" w:type="dxa"/>
              <w:bottom w:w="55" w:type="dxa"/>
              <w:right w:w="55" w:type="dxa"/>
            </w:tcMar>
            <w:vAlign w:val="center"/>
          </w:tcPr>
          <w:p w14:paraId="7A878D55" w14:textId="77777777" w:rsidR="004D277A" w:rsidRDefault="004D277A" w:rsidP="00A4509D">
            <w:pPr>
              <w:pStyle w:val="TableContents"/>
            </w:pPr>
            <w:r>
              <w:t>45</w:t>
            </w:r>
          </w:p>
        </w:tc>
      </w:tr>
      <w:tr w:rsidR="004D277A" w14:paraId="242B89EF" w14:textId="77777777" w:rsidTr="000D126D">
        <w:trPr>
          <w:jc w:val="center"/>
        </w:trPr>
        <w:tc>
          <w:tcPr>
            <w:tcW w:w="2409" w:type="dxa"/>
            <w:shd w:val="clear" w:color="auto" w:fill="auto"/>
            <w:tcMar>
              <w:top w:w="55" w:type="dxa"/>
              <w:left w:w="55" w:type="dxa"/>
              <w:bottom w:w="55" w:type="dxa"/>
              <w:right w:w="55" w:type="dxa"/>
            </w:tcMar>
            <w:vAlign w:val="center"/>
          </w:tcPr>
          <w:p w14:paraId="3F7FDB11" w14:textId="77777777" w:rsidR="004D277A" w:rsidRDefault="004D277A" w:rsidP="00A4509D">
            <w:pPr>
              <w:pStyle w:val="TableContents"/>
            </w:pPr>
            <w:r>
              <w:t>CA III</w:t>
            </w:r>
          </w:p>
        </w:tc>
        <w:tc>
          <w:tcPr>
            <w:tcW w:w="2410" w:type="dxa"/>
            <w:shd w:val="clear" w:color="auto" w:fill="auto"/>
            <w:tcMar>
              <w:top w:w="55" w:type="dxa"/>
              <w:left w:w="55" w:type="dxa"/>
              <w:bottom w:w="55" w:type="dxa"/>
              <w:right w:w="55" w:type="dxa"/>
            </w:tcMar>
            <w:vAlign w:val="center"/>
          </w:tcPr>
          <w:p w14:paraId="2703F10C" w14:textId="77777777" w:rsidR="004D277A" w:rsidRDefault="004D277A" w:rsidP="00A4509D">
            <w:pPr>
              <w:pStyle w:val="TableContents"/>
            </w:pPr>
            <w:r>
              <w:t>TFMSA; TFS</w:t>
            </w:r>
          </w:p>
        </w:tc>
        <w:tc>
          <w:tcPr>
            <w:tcW w:w="2410" w:type="dxa"/>
            <w:shd w:val="clear" w:color="auto" w:fill="auto"/>
            <w:tcMar>
              <w:top w:w="55" w:type="dxa"/>
              <w:left w:w="55" w:type="dxa"/>
              <w:bottom w:w="55" w:type="dxa"/>
              <w:right w:w="55" w:type="dxa"/>
            </w:tcMar>
            <w:vAlign w:val="center"/>
          </w:tcPr>
          <w:p w14:paraId="5D4312FA" w14:textId="77777777" w:rsidR="004D277A" w:rsidRDefault="004D277A" w:rsidP="00A4509D">
            <w:pPr>
              <w:pStyle w:val="TableContents"/>
            </w:pPr>
            <w:r>
              <w:t>1000</w:t>
            </w:r>
          </w:p>
        </w:tc>
        <w:tc>
          <w:tcPr>
            <w:tcW w:w="2552" w:type="dxa"/>
            <w:shd w:val="clear" w:color="auto" w:fill="auto"/>
            <w:tcMar>
              <w:top w:w="55" w:type="dxa"/>
              <w:left w:w="55" w:type="dxa"/>
              <w:bottom w:w="55" w:type="dxa"/>
              <w:right w:w="55" w:type="dxa"/>
            </w:tcMar>
            <w:vAlign w:val="center"/>
          </w:tcPr>
          <w:p w14:paraId="713BF4CE" w14:textId="77777777" w:rsidR="004D277A" w:rsidRDefault="004D277A" w:rsidP="00A4509D">
            <w:pPr>
              <w:pStyle w:val="TableContents"/>
            </w:pPr>
            <w:r>
              <w:t>220</w:t>
            </w:r>
          </w:p>
        </w:tc>
      </w:tr>
      <w:tr w:rsidR="004D277A" w14:paraId="740F5FE4" w14:textId="77777777" w:rsidTr="000D126D">
        <w:trPr>
          <w:jc w:val="center"/>
        </w:trPr>
        <w:tc>
          <w:tcPr>
            <w:tcW w:w="2409" w:type="dxa"/>
            <w:shd w:val="clear" w:color="auto" w:fill="DDDDDD"/>
            <w:tcMar>
              <w:top w:w="55" w:type="dxa"/>
              <w:left w:w="55" w:type="dxa"/>
              <w:bottom w:w="55" w:type="dxa"/>
              <w:right w:w="55" w:type="dxa"/>
            </w:tcMar>
            <w:vAlign w:val="center"/>
          </w:tcPr>
          <w:p w14:paraId="35575C7C" w14:textId="77777777" w:rsidR="004D277A" w:rsidRDefault="004D277A" w:rsidP="00A4509D">
            <w:pPr>
              <w:pStyle w:val="TableContents"/>
            </w:pPr>
            <w:r>
              <w:t>CA IV</w:t>
            </w:r>
          </w:p>
        </w:tc>
        <w:tc>
          <w:tcPr>
            <w:tcW w:w="2410" w:type="dxa"/>
            <w:shd w:val="clear" w:color="auto" w:fill="DDDDDD"/>
            <w:tcMar>
              <w:top w:w="55" w:type="dxa"/>
              <w:left w:w="55" w:type="dxa"/>
              <w:bottom w:w="55" w:type="dxa"/>
              <w:right w:w="55" w:type="dxa"/>
            </w:tcMar>
            <w:vAlign w:val="center"/>
          </w:tcPr>
          <w:p w14:paraId="7383BF89" w14:textId="77777777" w:rsidR="004D277A" w:rsidRDefault="004D277A" w:rsidP="00A4509D">
            <w:pPr>
              <w:pStyle w:val="TableContents"/>
            </w:pPr>
            <w:r>
              <w:t>EA3-2</w:t>
            </w:r>
          </w:p>
        </w:tc>
        <w:tc>
          <w:tcPr>
            <w:tcW w:w="2410" w:type="dxa"/>
            <w:shd w:val="clear" w:color="auto" w:fill="DDDDDD"/>
            <w:tcMar>
              <w:top w:w="55" w:type="dxa"/>
              <w:left w:w="55" w:type="dxa"/>
              <w:bottom w:w="55" w:type="dxa"/>
              <w:right w:w="55" w:type="dxa"/>
            </w:tcMar>
            <w:vAlign w:val="center"/>
          </w:tcPr>
          <w:p w14:paraId="2057D758" w14:textId="77777777" w:rsidR="004D277A" w:rsidRDefault="004D277A" w:rsidP="00A4509D">
            <w:pPr>
              <w:pStyle w:val="TableContents"/>
            </w:pPr>
            <w:r>
              <w:t>1,4</w:t>
            </w:r>
          </w:p>
        </w:tc>
        <w:tc>
          <w:tcPr>
            <w:tcW w:w="2552" w:type="dxa"/>
            <w:shd w:val="clear" w:color="auto" w:fill="DDDDDD"/>
            <w:tcMar>
              <w:top w:w="55" w:type="dxa"/>
              <w:left w:w="55" w:type="dxa"/>
              <w:bottom w:w="55" w:type="dxa"/>
              <w:right w:w="55" w:type="dxa"/>
            </w:tcMar>
            <w:vAlign w:val="center"/>
          </w:tcPr>
          <w:p w14:paraId="64ED0616" w14:textId="77777777" w:rsidR="004D277A" w:rsidRDefault="004D277A" w:rsidP="00A4509D">
            <w:pPr>
              <w:pStyle w:val="TableContents"/>
            </w:pPr>
            <w:r>
              <w:t>0,0042</w:t>
            </w:r>
          </w:p>
        </w:tc>
      </w:tr>
      <w:tr w:rsidR="004D277A" w14:paraId="2C7F6156" w14:textId="77777777" w:rsidTr="000D126D">
        <w:trPr>
          <w:jc w:val="center"/>
        </w:trPr>
        <w:tc>
          <w:tcPr>
            <w:tcW w:w="2409" w:type="dxa"/>
            <w:shd w:val="clear" w:color="auto" w:fill="auto"/>
            <w:tcMar>
              <w:top w:w="55" w:type="dxa"/>
              <w:left w:w="55" w:type="dxa"/>
              <w:bottom w:w="55" w:type="dxa"/>
              <w:right w:w="55" w:type="dxa"/>
            </w:tcMar>
            <w:vAlign w:val="center"/>
          </w:tcPr>
          <w:p w14:paraId="0CDEAF3C" w14:textId="77777777" w:rsidR="004D277A" w:rsidRDefault="004D277A" w:rsidP="00A4509D">
            <w:pPr>
              <w:pStyle w:val="TableContents"/>
            </w:pPr>
            <w:r>
              <w:t>CA VA</w:t>
            </w:r>
          </w:p>
        </w:tc>
        <w:tc>
          <w:tcPr>
            <w:tcW w:w="2410" w:type="dxa"/>
            <w:shd w:val="clear" w:color="auto" w:fill="auto"/>
            <w:tcMar>
              <w:top w:w="55" w:type="dxa"/>
              <w:left w:w="55" w:type="dxa"/>
              <w:bottom w:w="55" w:type="dxa"/>
              <w:right w:w="55" w:type="dxa"/>
            </w:tcMar>
            <w:vAlign w:val="center"/>
          </w:tcPr>
          <w:p w14:paraId="55F53895" w14:textId="77777777" w:rsidR="004D277A" w:rsidRDefault="004D277A" w:rsidP="00A4509D">
            <w:pPr>
              <w:pStyle w:val="TableContents"/>
            </w:pPr>
            <w:r>
              <w:t>EZA</w:t>
            </w:r>
          </w:p>
        </w:tc>
        <w:tc>
          <w:tcPr>
            <w:tcW w:w="2410" w:type="dxa"/>
            <w:shd w:val="clear" w:color="auto" w:fill="auto"/>
            <w:tcMar>
              <w:top w:w="55" w:type="dxa"/>
              <w:left w:w="55" w:type="dxa"/>
              <w:bottom w:w="55" w:type="dxa"/>
              <w:right w:w="55" w:type="dxa"/>
            </w:tcMar>
            <w:vAlign w:val="center"/>
          </w:tcPr>
          <w:p w14:paraId="3B889747" w14:textId="77777777" w:rsidR="004D277A" w:rsidRDefault="004D277A" w:rsidP="00A4509D">
            <w:pPr>
              <w:pStyle w:val="TableContents"/>
            </w:pPr>
            <w:r>
              <w:t>19</w:t>
            </w:r>
          </w:p>
        </w:tc>
        <w:tc>
          <w:tcPr>
            <w:tcW w:w="2552" w:type="dxa"/>
            <w:shd w:val="clear" w:color="auto" w:fill="auto"/>
            <w:tcMar>
              <w:top w:w="55" w:type="dxa"/>
              <w:left w:w="55" w:type="dxa"/>
              <w:bottom w:w="55" w:type="dxa"/>
              <w:right w:w="55" w:type="dxa"/>
            </w:tcMar>
            <w:vAlign w:val="center"/>
          </w:tcPr>
          <w:p w14:paraId="02204EE5" w14:textId="77777777" w:rsidR="004D277A" w:rsidRDefault="004D277A" w:rsidP="00A4509D">
            <w:pPr>
              <w:pStyle w:val="TableContents"/>
            </w:pPr>
            <w:r>
              <w:t>1,7</w:t>
            </w:r>
          </w:p>
        </w:tc>
      </w:tr>
      <w:tr w:rsidR="004D277A" w14:paraId="4123EA3C" w14:textId="77777777" w:rsidTr="000D126D">
        <w:trPr>
          <w:jc w:val="center"/>
        </w:trPr>
        <w:tc>
          <w:tcPr>
            <w:tcW w:w="2409" w:type="dxa"/>
            <w:shd w:val="clear" w:color="auto" w:fill="DDDDDD"/>
            <w:tcMar>
              <w:top w:w="55" w:type="dxa"/>
              <w:left w:w="55" w:type="dxa"/>
              <w:bottom w:w="55" w:type="dxa"/>
              <w:right w:w="55" w:type="dxa"/>
            </w:tcMar>
            <w:vAlign w:val="center"/>
          </w:tcPr>
          <w:p w14:paraId="2DC5F849" w14:textId="77777777" w:rsidR="004D277A" w:rsidRDefault="004D277A" w:rsidP="00A4509D">
            <w:pPr>
              <w:pStyle w:val="TableContents"/>
            </w:pPr>
            <w:r>
              <w:t>CA VB</w:t>
            </w:r>
          </w:p>
        </w:tc>
        <w:tc>
          <w:tcPr>
            <w:tcW w:w="2410" w:type="dxa"/>
            <w:shd w:val="clear" w:color="auto" w:fill="DDDDDD"/>
            <w:tcMar>
              <w:top w:w="55" w:type="dxa"/>
              <w:left w:w="55" w:type="dxa"/>
              <w:bottom w:w="55" w:type="dxa"/>
              <w:right w:w="55" w:type="dxa"/>
            </w:tcMar>
            <w:vAlign w:val="center"/>
          </w:tcPr>
          <w:p w14:paraId="1ED2E369" w14:textId="77777777" w:rsidR="004D277A" w:rsidRDefault="004D277A" w:rsidP="00A4509D">
            <w:pPr>
              <w:pStyle w:val="TableContents"/>
            </w:pPr>
            <w:r>
              <w:t>VD12-05</w:t>
            </w:r>
          </w:p>
        </w:tc>
        <w:tc>
          <w:tcPr>
            <w:tcW w:w="2410" w:type="dxa"/>
            <w:shd w:val="clear" w:color="auto" w:fill="DDDDDD"/>
            <w:tcMar>
              <w:top w:w="55" w:type="dxa"/>
              <w:left w:w="55" w:type="dxa"/>
              <w:bottom w:w="55" w:type="dxa"/>
              <w:right w:w="55" w:type="dxa"/>
            </w:tcMar>
            <w:vAlign w:val="center"/>
          </w:tcPr>
          <w:p w14:paraId="1B6AF349" w14:textId="77777777" w:rsidR="004D277A" w:rsidRDefault="004D277A" w:rsidP="00A4509D">
            <w:pPr>
              <w:pStyle w:val="TableContents"/>
            </w:pPr>
            <w:r>
              <w:t>50</w:t>
            </w:r>
          </w:p>
        </w:tc>
        <w:tc>
          <w:tcPr>
            <w:tcW w:w="2552" w:type="dxa"/>
            <w:shd w:val="clear" w:color="auto" w:fill="DDDDDD"/>
            <w:tcMar>
              <w:top w:w="55" w:type="dxa"/>
              <w:left w:w="55" w:type="dxa"/>
              <w:bottom w:w="55" w:type="dxa"/>
              <w:right w:w="55" w:type="dxa"/>
            </w:tcMar>
            <w:vAlign w:val="center"/>
          </w:tcPr>
          <w:p w14:paraId="7103FD93" w14:textId="77777777" w:rsidR="004D277A" w:rsidRDefault="004D277A" w:rsidP="00A4509D">
            <w:pPr>
              <w:pStyle w:val="TableContents"/>
            </w:pPr>
            <w:r>
              <w:t>0,0017</w:t>
            </w:r>
          </w:p>
        </w:tc>
      </w:tr>
      <w:tr w:rsidR="004D277A" w14:paraId="77FDE00F" w14:textId="77777777" w:rsidTr="000D126D">
        <w:trPr>
          <w:jc w:val="center"/>
        </w:trPr>
        <w:tc>
          <w:tcPr>
            <w:tcW w:w="2409" w:type="dxa"/>
            <w:shd w:val="clear" w:color="auto" w:fill="auto"/>
            <w:tcMar>
              <w:top w:w="55" w:type="dxa"/>
              <w:left w:w="55" w:type="dxa"/>
              <w:bottom w:w="55" w:type="dxa"/>
              <w:right w:w="55" w:type="dxa"/>
            </w:tcMar>
            <w:vAlign w:val="center"/>
          </w:tcPr>
          <w:p w14:paraId="19DDE720" w14:textId="77777777" w:rsidR="004D277A" w:rsidRDefault="004D277A" w:rsidP="00A4509D">
            <w:pPr>
              <w:pStyle w:val="TableContents"/>
            </w:pPr>
            <w:r>
              <w:t>CA VI</w:t>
            </w:r>
          </w:p>
        </w:tc>
        <w:tc>
          <w:tcPr>
            <w:tcW w:w="2410" w:type="dxa"/>
            <w:shd w:val="clear" w:color="auto" w:fill="auto"/>
            <w:tcMar>
              <w:top w:w="55" w:type="dxa"/>
              <w:left w:w="55" w:type="dxa"/>
              <w:bottom w:w="55" w:type="dxa"/>
              <w:right w:w="55" w:type="dxa"/>
            </w:tcMar>
            <w:vAlign w:val="center"/>
          </w:tcPr>
          <w:p w14:paraId="70F87C9B" w14:textId="77777777" w:rsidR="004D277A" w:rsidRDefault="004D277A" w:rsidP="00A4509D">
            <w:pPr>
              <w:pStyle w:val="TableContents"/>
            </w:pPr>
            <w:r>
              <w:t>TFMSA; TFS</w:t>
            </w:r>
          </w:p>
        </w:tc>
        <w:tc>
          <w:tcPr>
            <w:tcW w:w="2410" w:type="dxa"/>
            <w:shd w:val="clear" w:color="auto" w:fill="auto"/>
            <w:tcMar>
              <w:top w:w="55" w:type="dxa"/>
              <w:left w:w="55" w:type="dxa"/>
              <w:bottom w:w="55" w:type="dxa"/>
              <w:right w:w="55" w:type="dxa"/>
            </w:tcMar>
            <w:vAlign w:val="center"/>
          </w:tcPr>
          <w:p w14:paraId="07D1392D" w14:textId="77777777" w:rsidR="004D277A" w:rsidRDefault="004D277A" w:rsidP="00A4509D">
            <w:pPr>
              <w:pStyle w:val="TableContents"/>
            </w:pPr>
            <w:r>
              <w:t>14</w:t>
            </w:r>
          </w:p>
        </w:tc>
        <w:tc>
          <w:tcPr>
            <w:tcW w:w="2552" w:type="dxa"/>
            <w:shd w:val="clear" w:color="auto" w:fill="auto"/>
            <w:tcMar>
              <w:top w:w="55" w:type="dxa"/>
              <w:left w:w="55" w:type="dxa"/>
              <w:bottom w:w="55" w:type="dxa"/>
              <w:right w:w="55" w:type="dxa"/>
            </w:tcMar>
            <w:vAlign w:val="center"/>
          </w:tcPr>
          <w:p w14:paraId="008B385C" w14:textId="77777777" w:rsidR="004D277A" w:rsidRDefault="004D277A" w:rsidP="00A4509D">
            <w:pPr>
              <w:pStyle w:val="TableContents"/>
            </w:pPr>
            <w:r>
              <w:t>1,2</w:t>
            </w:r>
          </w:p>
        </w:tc>
      </w:tr>
      <w:tr w:rsidR="004D277A" w14:paraId="18C0766D" w14:textId="77777777" w:rsidTr="000D126D">
        <w:trPr>
          <w:jc w:val="center"/>
        </w:trPr>
        <w:tc>
          <w:tcPr>
            <w:tcW w:w="2409" w:type="dxa"/>
            <w:shd w:val="clear" w:color="auto" w:fill="DDDDDD"/>
            <w:tcMar>
              <w:top w:w="55" w:type="dxa"/>
              <w:left w:w="55" w:type="dxa"/>
              <w:bottom w:w="55" w:type="dxa"/>
              <w:right w:w="55" w:type="dxa"/>
            </w:tcMar>
            <w:vAlign w:val="center"/>
          </w:tcPr>
          <w:p w14:paraId="618999F5" w14:textId="77777777" w:rsidR="004D277A" w:rsidRDefault="004D277A" w:rsidP="00A4509D">
            <w:pPr>
              <w:pStyle w:val="TableContents"/>
            </w:pPr>
            <w:r>
              <w:t>CA VII</w:t>
            </w:r>
          </w:p>
        </w:tc>
        <w:tc>
          <w:tcPr>
            <w:tcW w:w="2410" w:type="dxa"/>
            <w:shd w:val="clear" w:color="auto" w:fill="DDDDDD"/>
            <w:tcMar>
              <w:top w:w="55" w:type="dxa"/>
              <w:left w:w="55" w:type="dxa"/>
              <w:bottom w:w="55" w:type="dxa"/>
              <w:right w:w="55" w:type="dxa"/>
            </w:tcMar>
            <w:vAlign w:val="center"/>
          </w:tcPr>
          <w:p w14:paraId="76E430C8" w14:textId="77777777" w:rsidR="004D277A" w:rsidRDefault="004D277A" w:rsidP="00A4509D">
            <w:pPr>
              <w:pStyle w:val="TableContents"/>
            </w:pPr>
            <w:r>
              <w:t>VD10-49</w:t>
            </w:r>
          </w:p>
        </w:tc>
        <w:tc>
          <w:tcPr>
            <w:tcW w:w="2410" w:type="dxa"/>
            <w:shd w:val="clear" w:color="auto" w:fill="DDDDDD"/>
            <w:tcMar>
              <w:top w:w="55" w:type="dxa"/>
              <w:left w:w="55" w:type="dxa"/>
              <w:bottom w:w="55" w:type="dxa"/>
              <w:right w:w="55" w:type="dxa"/>
            </w:tcMar>
            <w:vAlign w:val="center"/>
          </w:tcPr>
          <w:p w14:paraId="2B304E43" w14:textId="77777777" w:rsidR="004D277A" w:rsidRDefault="004D277A" w:rsidP="00A4509D">
            <w:pPr>
              <w:pStyle w:val="TableContents"/>
            </w:pPr>
            <w:r>
              <w:t>0,22</w:t>
            </w:r>
          </w:p>
        </w:tc>
        <w:tc>
          <w:tcPr>
            <w:tcW w:w="2552" w:type="dxa"/>
            <w:shd w:val="clear" w:color="auto" w:fill="DDDDDD"/>
            <w:tcMar>
              <w:top w:w="55" w:type="dxa"/>
              <w:left w:w="55" w:type="dxa"/>
              <w:bottom w:w="55" w:type="dxa"/>
              <w:right w:w="55" w:type="dxa"/>
            </w:tcMar>
            <w:vAlign w:val="center"/>
          </w:tcPr>
          <w:p w14:paraId="77371F80" w14:textId="77777777" w:rsidR="004D277A" w:rsidRDefault="004D277A" w:rsidP="00A4509D">
            <w:pPr>
              <w:pStyle w:val="TableContents"/>
            </w:pPr>
            <w:r>
              <w:t>11</w:t>
            </w:r>
          </w:p>
        </w:tc>
      </w:tr>
      <w:tr w:rsidR="004D277A" w14:paraId="75C98E7C" w14:textId="77777777" w:rsidTr="000D126D">
        <w:trPr>
          <w:jc w:val="center"/>
        </w:trPr>
        <w:tc>
          <w:tcPr>
            <w:tcW w:w="2409" w:type="dxa"/>
            <w:shd w:val="clear" w:color="auto" w:fill="auto"/>
            <w:tcMar>
              <w:top w:w="55" w:type="dxa"/>
              <w:left w:w="55" w:type="dxa"/>
              <w:bottom w:w="55" w:type="dxa"/>
              <w:right w:w="55" w:type="dxa"/>
            </w:tcMar>
            <w:vAlign w:val="center"/>
          </w:tcPr>
          <w:p w14:paraId="2A8BF011" w14:textId="77777777" w:rsidR="004D277A" w:rsidRDefault="004D277A" w:rsidP="00A4509D">
            <w:pPr>
              <w:pStyle w:val="TableContents"/>
            </w:pPr>
            <w:r>
              <w:t>CA IX</w:t>
            </w:r>
          </w:p>
        </w:tc>
        <w:tc>
          <w:tcPr>
            <w:tcW w:w="2410" w:type="dxa"/>
            <w:shd w:val="clear" w:color="auto" w:fill="auto"/>
            <w:tcMar>
              <w:top w:w="55" w:type="dxa"/>
              <w:left w:w="55" w:type="dxa"/>
              <w:bottom w:w="55" w:type="dxa"/>
              <w:right w:w="55" w:type="dxa"/>
            </w:tcMar>
            <w:vAlign w:val="center"/>
          </w:tcPr>
          <w:p w14:paraId="5585860E" w14:textId="77777777" w:rsidR="004D277A" w:rsidRDefault="004D277A" w:rsidP="00A4509D">
            <w:pPr>
              <w:pStyle w:val="TableContents"/>
            </w:pPr>
            <w:r>
              <w:t>VD11-4-2</w:t>
            </w:r>
          </w:p>
        </w:tc>
        <w:tc>
          <w:tcPr>
            <w:tcW w:w="2410" w:type="dxa"/>
            <w:shd w:val="clear" w:color="auto" w:fill="auto"/>
            <w:tcMar>
              <w:top w:w="55" w:type="dxa"/>
              <w:left w:w="55" w:type="dxa"/>
              <w:bottom w:w="55" w:type="dxa"/>
              <w:right w:w="55" w:type="dxa"/>
            </w:tcMar>
            <w:vAlign w:val="center"/>
          </w:tcPr>
          <w:p w14:paraId="7E74A4AB" w14:textId="77777777" w:rsidR="004D277A" w:rsidRDefault="004D277A" w:rsidP="00A4509D">
            <w:pPr>
              <w:pStyle w:val="TableContents"/>
            </w:pPr>
            <w:r>
              <w:t>83</w:t>
            </w:r>
          </w:p>
        </w:tc>
        <w:tc>
          <w:tcPr>
            <w:tcW w:w="2552" w:type="dxa"/>
            <w:shd w:val="clear" w:color="auto" w:fill="auto"/>
            <w:tcMar>
              <w:top w:w="55" w:type="dxa"/>
              <w:left w:w="55" w:type="dxa"/>
              <w:bottom w:w="55" w:type="dxa"/>
              <w:right w:w="55" w:type="dxa"/>
            </w:tcMar>
            <w:vAlign w:val="center"/>
          </w:tcPr>
          <w:p w14:paraId="5BDE2F4D" w14:textId="77777777" w:rsidR="004D277A" w:rsidRDefault="004D277A" w:rsidP="00A4509D">
            <w:pPr>
              <w:pStyle w:val="TableContents"/>
            </w:pPr>
            <w:r>
              <w:t>0,000</w:t>
            </w:r>
            <w:r>
              <w:rPr>
                <w:rFonts w:cs="Times New Roman"/>
              </w:rPr>
              <w:t> </w:t>
            </w:r>
            <w:r>
              <w:t>78</w:t>
            </w:r>
          </w:p>
        </w:tc>
      </w:tr>
      <w:tr w:rsidR="004D277A" w14:paraId="5252EA68" w14:textId="77777777" w:rsidTr="000D126D">
        <w:trPr>
          <w:jc w:val="center"/>
        </w:trPr>
        <w:tc>
          <w:tcPr>
            <w:tcW w:w="2409" w:type="dxa"/>
            <w:shd w:val="clear" w:color="auto" w:fill="DDDDDD"/>
            <w:tcMar>
              <w:top w:w="55" w:type="dxa"/>
              <w:left w:w="55" w:type="dxa"/>
              <w:bottom w:w="55" w:type="dxa"/>
              <w:right w:w="55" w:type="dxa"/>
            </w:tcMar>
            <w:vAlign w:val="center"/>
          </w:tcPr>
          <w:p w14:paraId="506C325E" w14:textId="77777777" w:rsidR="004D277A" w:rsidRDefault="004D277A" w:rsidP="00A4509D">
            <w:pPr>
              <w:pStyle w:val="TableContents"/>
            </w:pPr>
            <w:r>
              <w:t>CA XII</w:t>
            </w:r>
          </w:p>
        </w:tc>
        <w:tc>
          <w:tcPr>
            <w:tcW w:w="2410" w:type="dxa"/>
            <w:shd w:val="clear" w:color="auto" w:fill="DDDDDD"/>
            <w:tcMar>
              <w:top w:w="55" w:type="dxa"/>
              <w:left w:w="55" w:type="dxa"/>
              <w:bottom w:w="55" w:type="dxa"/>
              <w:right w:w="55" w:type="dxa"/>
            </w:tcMar>
            <w:vAlign w:val="center"/>
          </w:tcPr>
          <w:p w14:paraId="61D51BC9" w14:textId="77777777" w:rsidR="004D277A" w:rsidRDefault="004D277A" w:rsidP="00A4509D">
            <w:pPr>
              <w:pStyle w:val="TableContents"/>
            </w:pPr>
            <w:r>
              <w:t>EA12-3</w:t>
            </w:r>
          </w:p>
        </w:tc>
        <w:tc>
          <w:tcPr>
            <w:tcW w:w="2410" w:type="dxa"/>
            <w:shd w:val="clear" w:color="auto" w:fill="DDDDDD"/>
            <w:tcMar>
              <w:top w:w="55" w:type="dxa"/>
              <w:left w:w="55" w:type="dxa"/>
              <w:bottom w:w="55" w:type="dxa"/>
              <w:right w:w="55" w:type="dxa"/>
            </w:tcMar>
            <w:vAlign w:val="center"/>
          </w:tcPr>
          <w:p w14:paraId="4797CD7A" w14:textId="77777777" w:rsidR="004D277A" w:rsidRDefault="004D277A" w:rsidP="00A4509D">
            <w:pPr>
              <w:pStyle w:val="TableContents"/>
            </w:pPr>
            <w:r>
              <w:t>0,4</w:t>
            </w:r>
          </w:p>
        </w:tc>
        <w:tc>
          <w:tcPr>
            <w:tcW w:w="2552" w:type="dxa"/>
            <w:shd w:val="clear" w:color="auto" w:fill="DDDDDD"/>
            <w:tcMar>
              <w:top w:w="55" w:type="dxa"/>
              <w:left w:w="55" w:type="dxa"/>
              <w:bottom w:w="55" w:type="dxa"/>
              <w:right w:w="55" w:type="dxa"/>
            </w:tcMar>
            <w:vAlign w:val="center"/>
          </w:tcPr>
          <w:p w14:paraId="25B2AAE5" w14:textId="77777777" w:rsidR="004D277A" w:rsidRDefault="004D277A" w:rsidP="00A4509D">
            <w:pPr>
              <w:pStyle w:val="TableContents"/>
            </w:pPr>
            <w:r>
              <w:t>0,0015</w:t>
            </w:r>
          </w:p>
        </w:tc>
      </w:tr>
      <w:tr w:rsidR="004D277A" w14:paraId="37A81FB0" w14:textId="77777777" w:rsidTr="000D126D">
        <w:trPr>
          <w:jc w:val="center"/>
        </w:trPr>
        <w:tc>
          <w:tcPr>
            <w:tcW w:w="2409" w:type="dxa"/>
            <w:shd w:val="clear" w:color="auto" w:fill="auto"/>
            <w:tcMar>
              <w:top w:w="55" w:type="dxa"/>
              <w:left w:w="55" w:type="dxa"/>
              <w:bottom w:w="55" w:type="dxa"/>
              <w:right w:w="55" w:type="dxa"/>
            </w:tcMar>
            <w:vAlign w:val="center"/>
          </w:tcPr>
          <w:p w14:paraId="51F7821B" w14:textId="77777777" w:rsidR="004D277A" w:rsidRDefault="004D277A" w:rsidP="00A4509D">
            <w:pPr>
              <w:pStyle w:val="TableContents"/>
            </w:pPr>
            <w:r>
              <w:t>CA XIII</w:t>
            </w:r>
          </w:p>
        </w:tc>
        <w:tc>
          <w:tcPr>
            <w:tcW w:w="2410" w:type="dxa"/>
            <w:shd w:val="clear" w:color="auto" w:fill="auto"/>
            <w:tcMar>
              <w:top w:w="55" w:type="dxa"/>
              <w:left w:w="55" w:type="dxa"/>
              <w:bottom w:w="55" w:type="dxa"/>
              <w:right w:w="55" w:type="dxa"/>
            </w:tcMar>
            <w:vAlign w:val="center"/>
          </w:tcPr>
          <w:p w14:paraId="1F4715FC" w14:textId="77777777" w:rsidR="004D277A" w:rsidRDefault="004D277A" w:rsidP="00A4509D">
            <w:pPr>
              <w:pStyle w:val="TableContents"/>
            </w:pPr>
            <w:r>
              <w:t>VD11-9</w:t>
            </w:r>
          </w:p>
        </w:tc>
        <w:tc>
          <w:tcPr>
            <w:tcW w:w="2410" w:type="dxa"/>
            <w:shd w:val="clear" w:color="auto" w:fill="auto"/>
            <w:tcMar>
              <w:top w:w="55" w:type="dxa"/>
              <w:left w:w="55" w:type="dxa"/>
              <w:bottom w:w="55" w:type="dxa"/>
              <w:right w:w="55" w:type="dxa"/>
            </w:tcMar>
            <w:vAlign w:val="center"/>
          </w:tcPr>
          <w:p w14:paraId="052325AA" w14:textId="77777777" w:rsidR="004D277A" w:rsidRDefault="004D277A" w:rsidP="00A4509D">
            <w:pPr>
              <w:pStyle w:val="TableContents"/>
            </w:pPr>
            <w:r>
              <w:t>0,28</w:t>
            </w:r>
          </w:p>
        </w:tc>
        <w:tc>
          <w:tcPr>
            <w:tcW w:w="2552" w:type="dxa"/>
            <w:shd w:val="clear" w:color="auto" w:fill="auto"/>
            <w:tcMar>
              <w:top w:w="55" w:type="dxa"/>
              <w:left w:w="55" w:type="dxa"/>
              <w:bottom w:w="55" w:type="dxa"/>
              <w:right w:w="55" w:type="dxa"/>
            </w:tcMar>
            <w:vAlign w:val="center"/>
          </w:tcPr>
          <w:p w14:paraId="30689851" w14:textId="77777777" w:rsidR="004D277A" w:rsidRDefault="004D277A" w:rsidP="00A4509D">
            <w:pPr>
              <w:pStyle w:val="TableContents"/>
            </w:pPr>
            <w:r>
              <w:t>0,021</w:t>
            </w:r>
          </w:p>
        </w:tc>
      </w:tr>
      <w:tr w:rsidR="004D277A" w14:paraId="705FEFE6" w14:textId="77777777" w:rsidTr="000D126D">
        <w:trPr>
          <w:trHeight w:val="353"/>
          <w:jc w:val="center"/>
        </w:trPr>
        <w:tc>
          <w:tcPr>
            <w:tcW w:w="2409" w:type="dxa"/>
            <w:shd w:val="clear" w:color="auto" w:fill="DDDDDD"/>
            <w:tcMar>
              <w:top w:w="55" w:type="dxa"/>
              <w:left w:w="55" w:type="dxa"/>
              <w:bottom w:w="55" w:type="dxa"/>
              <w:right w:w="55" w:type="dxa"/>
            </w:tcMar>
            <w:vAlign w:val="center"/>
          </w:tcPr>
          <w:p w14:paraId="47D4689F" w14:textId="77777777" w:rsidR="004D277A" w:rsidRDefault="004D277A" w:rsidP="00A4509D">
            <w:pPr>
              <w:pStyle w:val="TableContents"/>
            </w:pPr>
            <w:r>
              <w:t>CA XIV</w:t>
            </w:r>
          </w:p>
        </w:tc>
        <w:tc>
          <w:tcPr>
            <w:tcW w:w="2410" w:type="dxa"/>
            <w:shd w:val="clear" w:color="auto" w:fill="DDDDDD"/>
            <w:tcMar>
              <w:top w:w="55" w:type="dxa"/>
              <w:left w:w="55" w:type="dxa"/>
              <w:bottom w:w="55" w:type="dxa"/>
              <w:right w:w="55" w:type="dxa"/>
            </w:tcMar>
            <w:vAlign w:val="center"/>
          </w:tcPr>
          <w:p w14:paraId="3ABE72C1" w14:textId="77777777" w:rsidR="004D277A" w:rsidRDefault="004D277A" w:rsidP="00A4509D">
            <w:pPr>
              <w:pStyle w:val="TableContents"/>
            </w:pPr>
            <w:r>
              <w:t>VD10-49</w:t>
            </w:r>
          </w:p>
        </w:tc>
        <w:tc>
          <w:tcPr>
            <w:tcW w:w="2410" w:type="dxa"/>
            <w:shd w:val="clear" w:color="auto" w:fill="DDDDDD"/>
            <w:tcMar>
              <w:top w:w="55" w:type="dxa"/>
              <w:left w:w="55" w:type="dxa"/>
              <w:bottom w:w="55" w:type="dxa"/>
              <w:right w:w="55" w:type="dxa"/>
            </w:tcMar>
            <w:vAlign w:val="center"/>
          </w:tcPr>
          <w:p w14:paraId="37452B88" w14:textId="77777777" w:rsidR="004D277A" w:rsidRDefault="004D277A" w:rsidP="00A4509D">
            <w:pPr>
              <w:pStyle w:val="TableContents"/>
            </w:pPr>
            <w:r>
              <w:t>0,50</w:t>
            </w:r>
          </w:p>
        </w:tc>
        <w:tc>
          <w:tcPr>
            <w:tcW w:w="2552" w:type="dxa"/>
            <w:shd w:val="clear" w:color="auto" w:fill="DDDDDD"/>
            <w:tcMar>
              <w:top w:w="55" w:type="dxa"/>
              <w:left w:w="55" w:type="dxa"/>
              <w:bottom w:w="55" w:type="dxa"/>
              <w:right w:w="55" w:type="dxa"/>
            </w:tcMar>
            <w:vAlign w:val="center"/>
          </w:tcPr>
          <w:p w14:paraId="73A3DCF1" w14:textId="77777777" w:rsidR="004D277A" w:rsidRDefault="004D277A" w:rsidP="00A4509D">
            <w:pPr>
              <w:pStyle w:val="TableContents"/>
            </w:pPr>
            <w:r>
              <w:t>0,025</w:t>
            </w:r>
          </w:p>
        </w:tc>
      </w:tr>
    </w:tbl>
    <w:p w14:paraId="2B834F8E" w14:textId="77777777" w:rsidR="002C519B" w:rsidRDefault="005B1AC2" w:rsidP="00464CA0">
      <w:pPr>
        <w:spacing w:after="120"/>
        <w:contextualSpacing w:val="0"/>
      </w:pPr>
      <w:r>
        <w:t>Darbe pateiktos iliustracijos, diagramos, grafikai, schemos, nuotraukos ir kita vaizdinė medžiaga bendrai vadinama paveikslais. Tekste įterpiant nuorodas į paveikslus, pirmiausia nurodomas jų numeris, toliau sutrumpintai rašoma „pav.“, pvz., „</w:t>
      </w:r>
      <w:r w:rsidR="002730E6" w:rsidRPr="002730E6">
        <w:fldChar w:fldCharType="begin"/>
      </w:r>
      <w:r w:rsidR="002730E6" w:rsidRPr="002730E6">
        <w:instrText xml:space="preserve"> REF _Ref183386994 \h  \* MERGEFORMAT </w:instrText>
      </w:r>
      <w:r w:rsidR="002730E6" w:rsidRPr="002730E6">
        <w:fldChar w:fldCharType="separate"/>
      </w:r>
      <w:r w:rsidR="00812ABA" w:rsidRPr="00812ABA">
        <w:rPr>
          <w:noProof/>
        </w:rPr>
        <w:t>1</w:t>
      </w:r>
      <w:r w:rsidR="00812ABA" w:rsidRPr="00812ABA">
        <w:t xml:space="preserve"> pav.</w:t>
      </w:r>
      <w:r w:rsidR="002730E6" w:rsidRPr="002730E6">
        <w:fldChar w:fldCharType="end"/>
      </w:r>
      <w:r>
        <w:t xml:space="preserve">“. Mikroskopais darytų objektų nuotraukos turi būti pateikiamos su masteliu. Paveikslų tekstinei informacijai (koordinačių ašių pavadinimams, padalų žymėms, kreivių aprašymui ir kt.) rekomenduojame naudoti </w:t>
      </w:r>
      <w:proofErr w:type="spellStart"/>
      <w:r w:rsidRPr="005B1AC2">
        <w:rPr>
          <w:i/>
        </w:rPr>
        <w:t>Sans</w:t>
      </w:r>
      <w:proofErr w:type="spellEnd"/>
      <w:r w:rsidRPr="005B1AC2">
        <w:rPr>
          <w:i/>
        </w:rPr>
        <w:t xml:space="preserve"> </w:t>
      </w:r>
      <w:proofErr w:type="spellStart"/>
      <w:r w:rsidRPr="005B1AC2">
        <w:rPr>
          <w:i/>
        </w:rPr>
        <w:t>Serif</w:t>
      </w:r>
      <w:proofErr w:type="spellEnd"/>
      <w:r>
        <w:t xml:space="preserve"> šeimos šriftus (pvz., </w:t>
      </w:r>
      <w:proofErr w:type="spellStart"/>
      <w:r w:rsidRPr="005B1AC2">
        <w:rPr>
          <w:i/>
        </w:rPr>
        <w:t>Helvetica</w:t>
      </w:r>
      <w:proofErr w:type="spellEnd"/>
      <w:r>
        <w:t xml:space="preserve">, </w:t>
      </w:r>
      <w:proofErr w:type="spellStart"/>
      <w:r w:rsidRPr="005B1AC2">
        <w:rPr>
          <w:i/>
        </w:rPr>
        <w:t>Liberation</w:t>
      </w:r>
      <w:proofErr w:type="spellEnd"/>
      <w:r w:rsidRPr="005B1AC2">
        <w:rPr>
          <w:i/>
        </w:rPr>
        <w:t xml:space="preserve"> </w:t>
      </w:r>
      <w:proofErr w:type="spellStart"/>
      <w:r w:rsidRPr="005B1AC2">
        <w:rPr>
          <w:i/>
        </w:rPr>
        <w:t>Sans</w:t>
      </w:r>
      <w:proofErr w:type="spellEnd"/>
      <w:r>
        <w:t xml:space="preserve">, Computer </w:t>
      </w:r>
      <w:proofErr w:type="spellStart"/>
      <w:r w:rsidRPr="005B1AC2">
        <w:rPr>
          <w:i/>
        </w:rPr>
        <w:t>Modern</w:t>
      </w:r>
      <w:proofErr w:type="spellEnd"/>
      <w:r>
        <w:t>). Dažniausiai pasitaikanti tekstinės informacijos pateikimo problema paveiksluose yra šriftų dydis. Paveikslui parinkus galutinius matmenis, tekstinių elementų dydis juose neturėtų skirtis daugiau nei 25</w:t>
      </w:r>
      <w:r>
        <w:rPr>
          <w:rFonts w:cs="Times New Roman"/>
        </w:rPr>
        <w:t> </w:t>
      </w:r>
      <w:r>
        <w:t xml:space="preserve">% nuo dokumento bazinio </w:t>
      </w:r>
      <w:r>
        <w:rPr>
          <w:rFonts w:ascii="Palatino Linotype" w:hAnsi="Palatino Linotype" w:cs="Palatino Linotype"/>
        </w:rPr>
        <w:t>š</w:t>
      </w:r>
      <w:r>
        <w:t>rifto dyd</w:t>
      </w:r>
      <w:r>
        <w:rPr>
          <w:rFonts w:ascii="Palatino Linotype" w:hAnsi="Palatino Linotype" w:cs="Palatino Linotype"/>
        </w:rPr>
        <w:t>ž</w:t>
      </w:r>
      <w:r>
        <w:t>io. Pvz., jei dokumentas ra</w:t>
      </w:r>
      <w:r>
        <w:rPr>
          <w:rFonts w:ascii="Palatino Linotype" w:hAnsi="Palatino Linotype" w:cs="Palatino Linotype"/>
        </w:rPr>
        <w:t>š</w:t>
      </w:r>
      <w:r>
        <w:t>omas 12</w:t>
      </w:r>
      <w:r>
        <w:rPr>
          <w:rFonts w:cs="Times New Roman"/>
        </w:rPr>
        <w:t> </w:t>
      </w:r>
      <w:proofErr w:type="spellStart"/>
      <w:r>
        <w:t>pt</w:t>
      </w:r>
      <w:proofErr w:type="spellEnd"/>
      <w:r>
        <w:t xml:space="preserve"> </w:t>
      </w:r>
      <w:r>
        <w:rPr>
          <w:rFonts w:ascii="Palatino Linotype" w:hAnsi="Palatino Linotype" w:cs="Palatino Linotype"/>
        </w:rPr>
        <w:t>š</w:t>
      </w:r>
      <w:r>
        <w:t xml:space="preserve">riftu, tai paveikslo </w:t>
      </w:r>
      <w:r>
        <w:rPr>
          <w:rFonts w:ascii="Palatino Linotype" w:hAnsi="Palatino Linotype" w:cs="Palatino Linotype"/>
        </w:rPr>
        <w:t>š</w:t>
      </w:r>
      <w:r>
        <w:t>riftai tur</w:t>
      </w:r>
      <w:r>
        <w:rPr>
          <w:rFonts w:ascii="Palatino Linotype" w:hAnsi="Palatino Linotype" w:cs="Palatino Linotype"/>
        </w:rPr>
        <w:t>ė</w:t>
      </w:r>
      <w:r>
        <w:t>t</w:t>
      </w:r>
      <w:r>
        <w:rPr>
          <w:rFonts w:ascii="Palatino Linotype" w:hAnsi="Palatino Linotype" w:cs="Palatino Linotype"/>
        </w:rPr>
        <w:t>ų</w:t>
      </w:r>
      <w:r>
        <w:t xml:space="preserve"> b</w:t>
      </w:r>
      <w:r>
        <w:rPr>
          <w:rFonts w:ascii="Palatino Linotype" w:hAnsi="Palatino Linotype" w:cs="Palatino Linotype"/>
        </w:rPr>
        <w:t>ū</w:t>
      </w:r>
      <w:r>
        <w:t>ti nuo 9</w:t>
      </w:r>
      <w:r>
        <w:rPr>
          <w:rFonts w:cs="Times New Roman"/>
        </w:rPr>
        <w:t> </w:t>
      </w:r>
      <w:proofErr w:type="spellStart"/>
      <w:r>
        <w:t>pt</w:t>
      </w:r>
      <w:proofErr w:type="spellEnd"/>
      <w:r>
        <w:t xml:space="preserve"> iki 15</w:t>
      </w:r>
      <w:r>
        <w:rPr>
          <w:rFonts w:cs="Times New Roman"/>
        </w:rPr>
        <w:t> </w:t>
      </w:r>
      <w:proofErr w:type="spellStart"/>
      <w:r>
        <w:t>pt</w:t>
      </w:r>
      <w:proofErr w:type="spellEnd"/>
      <w:r>
        <w:t xml:space="preserve">. Rekomenduojami </w:t>
      </w:r>
      <w:r>
        <w:rPr>
          <w:rFonts w:ascii="Palatino Linotype" w:hAnsi="Palatino Linotype" w:cs="Palatino Linotype"/>
        </w:rPr>
        <w:t>š</w:t>
      </w:r>
      <w:r>
        <w:t>rift</w:t>
      </w:r>
      <w:r>
        <w:rPr>
          <w:rFonts w:ascii="Palatino Linotype" w:hAnsi="Palatino Linotype" w:cs="Palatino Linotype"/>
        </w:rPr>
        <w:t>ų</w:t>
      </w:r>
      <w:r>
        <w:t xml:space="preserve"> dyd</w:t>
      </w:r>
      <w:r>
        <w:rPr>
          <w:rFonts w:ascii="Palatino Linotype" w:hAnsi="Palatino Linotype" w:cs="Palatino Linotype"/>
        </w:rPr>
        <w:t>ž</w:t>
      </w:r>
      <w:r>
        <w:t>iai diagramose yra: nuo 12</w:t>
      </w:r>
      <w:r>
        <w:rPr>
          <w:rFonts w:cs="Times New Roman"/>
        </w:rPr>
        <w:t> </w:t>
      </w:r>
      <w:proofErr w:type="spellStart"/>
      <w:r>
        <w:t>pt</w:t>
      </w:r>
      <w:proofErr w:type="spellEnd"/>
      <w:r>
        <w:t xml:space="preserve"> iki 14</w:t>
      </w:r>
      <w:r>
        <w:rPr>
          <w:rFonts w:cs="Times New Roman"/>
        </w:rPr>
        <w:t> </w:t>
      </w:r>
      <w:proofErr w:type="spellStart"/>
      <w:r>
        <w:t>pt</w:t>
      </w:r>
      <w:proofErr w:type="spellEnd"/>
      <w:r>
        <w:t xml:space="preserve"> a</w:t>
      </w:r>
      <w:r>
        <w:rPr>
          <w:rFonts w:ascii="Palatino Linotype" w:hAnsi="Palatino Linotype" w:cs="Palatino Linotype"/>
        </w:rPr>
        <w:t>š</w:t>
      </w:r>
      <w:r>
        <w:t>i</w:t>
      </w:r>
      <w:r>
        <w:rPr>
          <w:rFonts w:ascii="Palatino Linotype" w:hAnsi="Palatino Linotype" w:cs="Palatino Linotype"/>
        </w:rPr>
        <w:t>ų</w:t>
      </w:r>
      <w:r>
        <w:t xml:space="preserve"> pavadinimams, nuo 10</w:t>
      </w:r>
      <w:r>
        <w:rPr>
          <w:rFonts w:cs="Times New Roman"/>
        </w:rPr>
        <w:t> </w:t>
      </w:r>
      <w:proofErr w:type="spellStart"/>
      <w:r>
        <w:t>pt</w:t>
      </w:r>
      <w:proofErr w:type="spellEnd"/>
      <w:r>
        <w:t xml:space="preserve"> iki 12</w:t>
      </w:r>
      <w:r>
        <w:rPr>
          <w:rFonts w:cs="Times New Roman"/>
        </w:rPr>
        <w:t> </w:t>
      </w:r>
      <w:proofErr w:type="spellStart"/>
      <w:r>
        <w:t>pt</w:t>
      </w:r>
      <w:proofErr w:type="spellEnd"/>
      <w:r>
        <w:t xml:space="preserve"> padal</w:t>
      </w:r>
      <w:r>
        <w:rPr>
          <w:rFonts w:ascii="Palatino Linotype" w:hAnsi="Palatino Linotype" w:cs="Palatino Linotype"/>
        </w:rPr>
        <w:t>ų</w:t>
      </w:r>
      <w:r>
        <w:t xml:space="preserve"> žymėms ir kitiems aiškinamiesiems tekstiniams elementams. Jei ruošiamo paveikslo matmenys labai skiriasi nuo tų, kuriuos naudosite baigiamajame darbe, įsitikinkite, kad pakeistų matmenų paveikslo šriftai vis dar atitinka rekomenduojamus. Stenkitės visuose dokumento paveiksluose išlaikyti vieningą šriftų stilių ir dydį.</w:t>
      </w:r>
    </w:p>
    <w:p w14:paraId="13F589D7" w14:textId="080097E0" w:rsidR="00397166" w:rsidRDefault="00CF1B58" w:rsidP="00397166">
      <w:pPr>
        <w:spacing w:after="240"/>
        <w:contextualSpacing w:val="0"/>
      </w:pPr>
      <w:r>
        <w:t>Rašto darbų vaizdinės medžiagos pavyzdžiai yra pateikti</w:t>
      </w:r>
      <w:r w:rsidR="00397166">
        <w:t xml:space="preserve"> </w:t>
      </w:r>
      <w:r w:rsidR="00397166">
        <w:fldChar w:fldCharType="begin"/>
      </w:r>
      <w:r w:rsidR="00397166">
        <w:instrText xml:space="preserve"> REF _Ref183621107 \h </w:instrText>
      </w:r>
      <w:r w:rsidR="00397166">
        <w:fldChar w:fldCharType="separate"/>
      </w:r>
      <w:r w:rsidR="00397166">
        <w:rPr>
          <w:noProof/>
        </w:rPr>
        <w:t>1</w:t>
      </w:r>
      <w:r w:rsidR="00397166">
        <w:t xml:space="preserve"> pav.</w:t>
      </w:r>
      <w:r w:rsidR="00397166">
        <w:fldChar w:fldCharType="end"/>
      </w:r>
      <w:r>
        <w:t xml:space="preserve">: (A) diagrama, (B) schema, (C) iliustracija ir (D) nuotrauka. Diagramose (brėžiniuose) atvaizduojami eksperimentiniai arba teoriniai </w:t>
      </w:r>
      <w:r>
        <w:lastRenderedPageBreak/>
        <w:t xml:space="preserve">duomenys, iliustracijose ir schemose – aprašomų objektų, reiškinių arba procesų vizualizacijos. Duomenų atvaizdavimui rinkitės efektyviausiai duomenis atvaizduojantį diagramos tipą – stulpelinę (angl. </w:t>
      </w:r>
      <w:r w:rsidRPr="000E7245">
        <w:rPr>
          <w:i/>
        </w:rPr>
        <w:t xml:space="preserve">bar </w:t>
      </w:r>
      <w:proofErr w:type="spellStart"/>
      <w:r w:rsidRPr="000E7245">
        <w:rPr>
          <w:i/>
        </w:rPr>
        <w:t>chart</w:t>
      </w:r>
      <w:proofErr w:type="spellEnd"/>
      <w:r>
        <w:t xml:space="preserve">), skritulinę (angl. </w:t>
      </w:r>
      <w:proofErr w:type="spellStart"/>
      <w:r w:rsidRPr="000E7245">
        <w:rPr>
          <w:i/>
        </w:rPr>
        <w:t>pie</w:t>
      </w:r>
      <w:proofErr w:type="spellEnd"/>
      <w:r w:rsidRPr="000E7245">
        <w:rPr>
          <w:i/>
        </w:rPr>
        <w:t xml:space="preserve"> </w:t>
      </w:r>
      <w:proofErr w:type="spellStart"/>
      <w:r w:rsidRPr="000E7245">
        <w:rPr>
          <w:i/>
        </w:rPr>
        <w:t>chart</w:t>
      </w:r>
      <w:proofErr w:type="spellEnd"/>
      <w:r>
        <w:t xml:space="preserve">), linijinę (angl. </w:t>
      </w:r>
      <w:r w:rsidRPr="000E7245">
        <w:rPr>
          <w:i/>
        </w:rPr>
        <w:t xml:space="preserve">line </w:t>
      </w:r>
      <w:proofErr w:type="spellStart"/>
      <w:r w:rsidRPr="000E7245">
        <w:rPr>
          <w:i/>
        </w:rPr>
        <w:t>chart</w:t>
      </w:r>
      <w:proofErr w:type="spellEnd"/>
      <w:r>
        <w:t xml:space="preserve">), sklaidos (angl. </w:t>
      </w:r>
      <w:proofErr w:type="spellStart"/>
      <w:r w:rsidRPr="000E7245">
        <w:rPr>
          <w:i/>
        </w:rPr>
        <w:t>scatter</w:t>
      </w:r>
      <w:proofErr w:type="spellEnd"/>
      <w:r w:rsidRPr="000E7245">
        <w:rPr>
          <w:i/>
        </w:rPr>
        <w:t xml:space="preserve"> </w:t>
      </w:r>
      <w:proofErr w:type="spellStart"/>
      <w:r w:rsidRPr="000E7245">
        <w:rPr>
          <w:i/>
        </w:rPr>
        <w:t>chart</w:t>
      </w:r>
      <w:proofErr w:type="spellEnd"/>
      <w:r>
        <w:t xml:space="preserve">), ir kt. Jei diagramoje yra pakankamai laisvos vietos, ją galima išnaudoti įdedant įterptinius (angl. </w:t>
      </w:r>
      <w:proofErr w:type="spellStart"/>
      <w:r w:rsidRPr="000E7245">
        <w:rPr>
          <w:i/>
        </w:rPr>
        <w:t>inset</w:t>
      </w:r>
      <w:proofErr w:type="spellEnd"/>
      <w:r>
        <w:t>) grafikus, kuriuose parodoma pagrindinius duomenis papildanti informaciją (žr</w:t>
      </w:r>
      <w:r w:rsidRPr="002730E6">
        <w:t>.</w:t>
      </w:r>
      <w:r w:rsidR="00397166">
        <w:t xml:space="preserve"> </w:t>
      </w:r>
      <w:r w:rsidR="00397166">
        <w:fldChar w:fldCharType="begin"/>
      </w:r>
      <w:r w:rsidR="00397166">
        <w:instrText xml:space="preserve"> REF _Ref183621107 \h </w:instrText>
      </w:r>
      <w:r w:rsidR="00397166">
        <w:fldChar w:fldCharType="separate"/>
      </w:r>
      <w:r w:rsidR="00397166">
        <w:rPr>
          <w:noProof/>
        </w:rPr>
        <w:t>1</w:t>
      </w:r>
      <w:r w:rsidR="00397166">
        <w:t xml:space="preserve"> pav.</w:t>
      </w:r>
      <w:r w:rsidR="00397166">
        <w:fldChar w:fldCharType="end"/>
      </w:r>
      <w:r w:rsidR="00397166">
        <w:t xml:space="preserve"> </w:t>
      </w:r>
      <w:fldSimple w:instr=" REF _Ref183386994 \h  \* MERGEFORMAT "/>
      <w:r>
        <w:t>A). Kai paveikslas sudaromas iš kelių nepriklausomų dalių, antraštėje pirmiausia reikėtų nurodyti bendrą paveikslo pavadinimą (tai, kas vienija sudedamąsias paveikslo dalis), o toliau parašyti atskirų dalių antraštes pradedant nuo jų raidinio žymėjimo.</w:t>
      </w:r>
    </w:p>
    <w:p w14:paraId="3F164970" w14:textId="77777777" w:rsidR="00397166" w:rsidRDefault="00397166" w:rsidP="00397166">
      <w:pPr>
        <w:keepNext/>
        <w:spacing w:before="240"/>
        <w:ind w:firstLine="0"/>
        <w:jc w:val="left"/>
      </w:pPr>
      <w:r>
        <w:rPr>
          <w:noProof/>
          <w:lang w:eastAsia="lt-LT" w:bidi="ar-SA"/>
        </w:rPr>
        <w:drawing>
          <wp:inline distT="0" distB="0" distL="0" distR="0" wp14:anchorId="65509D6C" wp14:editId="60B437E9">
            <wp:extent cx="6120000" cy="436578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6120000" cy="4365780"/>
                    </a:xfrm>
                    <a:prstGeom prst="rect">
                      <a:avLst/>
                    </a:prstGeom>
                  </pic:spPr>
                </pic:pic>
              </a:graphicData>
            </a:graphic>
          </wp:inline>
        </w:drawing>
      </w:r>
    </w:p>
    <w:bookmarkStart w:id="16" w:name="_Ref183621107"/>
    <w:p w14:paraId="1076D212" w14:textId="5D999558" w:rsidR="002734FC" w:rsidRDefault="00397166" w:rsidP="00397166">
      <w:pPr>
        <w:pStyle w:val="Caption"/>
        <w:rPr>
          <w:noProof/>
          <w:lang w:eastAsia="lt-LT" w:bidi="ar-SA"/>
        </w:rPr>
      </w:pPr>
      <w:r>
        <w:fldChar w:fldCharType="begin"/>
      </w:r>
      <w:r>
        <w:instrText xml:space="preserve"> SEQ pav. \* ARABIC </w:instrText>
      </w:r>
      <w:r>
        <w:fldChar w:fldCharType="separate"/>
      </w:r>
      <w:r>
        <w:rPr>
          <w:noProof/>
        </w:rPr>
        <w:t>1</w:t>
      </w:r>
      <w:r>
        <w:fldChar w:fldCharType="end"/>
      </w:r>
      <w:r>
        <w:t xml:space="preserve"> pav.</w:t>
      </w:r>
      <w:bookmarkEnd w:id="16"/>
      <w:r>
        <w:t xml:space="preserve"> </w:t>
      </w:r>
      <w:r w:rsidR="002734FC" w:rsidRPr="002C519B">
        <w:rPr>
          <w:noProof/>
          <w:lang w:eastAsia="lt-LT" w:bidi="ar-SA"/>
        </w:rPr>
        <w:t>Rašto darbų vaizdinės medžiagos pavyzdžiai. (</w:t>
      </w:r>
      <w:r w:rsidR="002734FC" w:rsidRPr="002C519B">
        <w:rPr>
          <w:b/>
          <w:noProof/>
          <w:lang w:eastAsia="lt-LT" w:bidi="ar-SA"/>
        </w:rPr>
        <w:t>A</w:t>
      </w:r>
      <w:r w:rsidR="002734FC" w:rsidRPr="002C519B">
        <w:rPr>
          <w:noProof/>
          <w:lang w:eastAsia="lt-LT" w:bidi="ar-SA"/>
        </w:rPr>
        <w:t>) Diagrama, adaptuota iš</w:t>
      </w:r>
      <w:r w:rsidR="002734FC">
        <w:rPr>
          <w:noProof/>
          <w:lang w:eastAsia="lt-LT" w:bidi="ar-SA"/>
        </w:rPr>
        <w:t xml:space="preserve"> </w:t>
      </w:r>
      <w:r w:rsidR="002734FC">
        <w:rPr>
          <w:noProof/>
          <w:lang w:eastAsia="lt-LT" w:bidi="ar-SA"/>
        </w:rPr>
        <w:fldChar w:fldCharType="begin"/>
      </w:r>
      <w:r w:rsidR="002734FC">
        <w:rPr>
          <w:noProof/>
          <w:lang w:eastAsia="lt-LT" w:bidi="ar-SA"/>
        </w:rPr>
        <w:instrText xml:space="preserve"> ADDIN ZOTERO_ITEM CSL_CITATION {"citationID":"KUDM0le7","properties":{"formattedCitation":"(Linkuvien\\uc0\\u279{} ir kt., 2018)","plainCitation":"(Linkuvienė ir kt., 2018)","noteIndex":0},"citationItems":[{"id":5984,"uris":["http://zotero.org/users/2219072/items/ZE9A4E2F"],"itemData":{"id":5984,"type":"article-journal","abstract":", The aim of rational drug design is to develop small molecules using a quantitative approach to optimize affinity. This should enhance the development of chemical compounds that would specifically, selectively, reversibly, and with high affinity interact with a target protein. It is not yet possible to develop such compounds using computational (i.e., in silico) approach and instead the lead molecules are discovered in high-throughput screening searches of large compound libraries. The main reason why in silico methods are not capable to deliver is our poor understanding of the compound structure–thermodynamics and structure–kinetics correlations. There is a need for databases of intrinsic binding parameters (e.g., the change upon binding in standard Gibbs energy (ΔGint), enthalpy (ΔHint), entropy (ΔSint), volume (ΔVintr), heat capacity (ΔCp,int), association rate (ka,int), and dissociation rate (kd,int)) between a series of closely related proteins and a chemically diverse, but pharmacophoric group-guided library of compounds together with the co-crystal structures that could help explain the structure–energetics correlations and rationally design novel compounds. Assembly of these data will facilitate attempts to provide correlations and train data for modeling of compound binding. Here, we report large datasets of the intrinsic thermodynamic and kinetic data including over 400 primary sulfonamide compound binding to a family of 12 catalytically active human carbonic anhydrases (CA). Thermodynamic parameters have been determined by the fluorescent thermal shift assay, isothermal titration calorimetry, and by the stopped-flow assay of the inhibition of enzymatic activity. Kinetic measurements were performed using surface plasmon resonance. Intrinsic thermodynamic and kinetic parameters of binding were determined by dissecting the binding-linked protonation reactions of the protein and sulfonamide. The compound structure–thermodynamics and kinetics correlations reported here helped to discover compounds that exhibited picomolar affinities, hour-long residence times, and million-fold selectivities over non-target CA isoforms. Drug-lead compounds are suggested for anticancer target CA IX and CA XII, antiglaucoma CA IV, antiobesity CA VA and CA VB, and other isoforms. Together with 85 X-ray crystallographic structures of 60 compounds bound to six CA isoforms, the database should be of help to continue developing the principles of rational target-based drug design.","container-title":"Quarterly Reviews of Biophysics","DOI":"10.1017/S0033583518000082","ISSN":"0033-5835, 1469-8994","journalAbbreviation":"Q. Rev. Biophys.","language":"en","license":"All rights reserved","note":"Citation Key: Linkuviene2018","page":"1-48","source":"Cambridge Core","title":"Thermodynamic, kinetic, and structural parameterization of human carbonic anhydrase interactions toward enhanced inhibitor design","volume":"51","author":[{"family":"Linkuvienė","given":"Vaida"},{"family":"Zubrienė","given":"Asta"},{"family":"Manakova","given":"Elena"},{"family":"Petrauskas","given":"Vytautas"},{"family":"Baranauskienė","given":"Lina"},{"family":"Zakšauskas","given":"Audrius"},{"family":"Smirnov","given":"Alexey"},{"family":"Gražulis","given":"Saulius"},{"family":"Ladbury","given":"John E."},{"family":"Matulis","given":"Daumantas"}],"issued":{"date-parts":[["2018"]]}}}],"schema":"https://github.com/citation-style-language/schema/raw/master/csl-citation.json"} </w:instrText>
      </w:r>
      <w:r w:rsidR="002734FC">
        <w:rPr>
          <w:noProof/>
          <w:lang w:eastAsia="lt-LT" w:bidi="ar-SA"/>
        </w:rPr>
        <w:fldChar w:fldCharType="separate"/>
      </w:r>
      <w:r w:rsidR="002734FC" w:rsidRPr="002C519B">
        <w:rPr>
          <w:rFonts w:cs="Times New Roman"/>
          <w:szCs w:val="24"/>
        </w:rPr>
        <w:t>Linkuvienė ir kt.</w:t>
      </w:r>
      <w:r w:rsidR="002734FC">
        <w:rPr>
          <w:rFonts w:cs="Times New Roman"/>
          <w:szCs w:val="24"/>
        </w:rPr>
        <w:t xml:space="preserve"> (</w:t>
      </w:r>
      <w:r w:rsidR="002734FC" w:rsidRPr="002C519B">
        <w:rPr>
          <w:rFonts w:cs="Times New Roman"/>
          <w:szCs w:val="24"/>
        </w:rPr>
        <w:t>2018)</w:t>
      </w:r>
      <w:r w:rsidR="002734FC">
        <w:rPr>
          <w:noProof/>
          <w:lang w:eastAsia="lt-LT" w:bidi="ar-SA"/>
        </w:rPr>
        <w:fldChar w:fldCharType="end"/>
      </w:r>
      <w:r w:rsidR="002734FC" w:rsidRPr="002C519B">
        <w:rPr>
          <w:noProof/>
          <w:lang w:eastAsia="lt-LT" w:bidi="ar-SA"/>
        </w:rPr>
        <w:t>. (</w:t>
      </w:r>
      <w:r w:rsidR="002734FC" w:rsidRPr="002C519B">
        <w:rPr>
          <w:b/>
          <w:noProof/>
          <w:lang w:eastAsia="lt-LT" w:bidi="ar-SA"/>
        </w:rPr>
        <w:t>B</w:t>
      </w:r>
      <w:r w:rsidR="002734FC" w:rsidRPr="002C519B">
        <w:rPr>
          <w:noProof/>
          <w:lang w:eastAsia="lt-LT" w:bidi="ar-SA"/>
        </w:rPr>
        <w:t>) Schema, adaptuota iš</w:t>
      </w:r>
      <w:r w:rsidR="002734FC">
        <w:rPr>
          <w:noProof/>
          <w:lang w:eastAsia="lt-LT" w:bidi="ar-SA"/>
        </w:rPr>
        <w:t xml:space="preserve"> </w:t>
      </w:r>
      <w:r w:rsidR="002734FC">
        <w:rPr>
          <w:noProof/>
          <w:lang w:eastAsia="lt-LT" w:bidi="ar-SA"/>
        </w:rPr>
        <w:fldChar w:fldCharType="begin"/>
      </w:r>
      <w:r w:rsidR="002734FC">
        <w:rPr>
          <w:noProof/>
          <w:lang w:eastAsia="lt-LT" w:bidi="ar-SA"/>
        </w:rPr>
        <w:instrText xml:space="preserve"> ADDIN ZOTERO_ITEM CSL_CITATION {"citationID":"KSGRqiPJ","properties":{"formattedCitation":"(DeLeeuw ir kt., 2021)","plainCitation":"(DeLeeuw ir kt., 2021)","noteIndex":0},"citationItems":[{"id":5998,"uris":["http://zotero.org/users/2219072/items/JUUFZMSQ"],"itemData":{"id":5998,"type":"article-journal","abstract":"The protein POT1 (Protection of Telomeres 1) is an integral part of the shelterin complex that protects the ends of human chromosomes from degradation or end fusions. It is the only component of shelterin that binds single-stranded DNA. We describe here the application of two separate fluorescent thermal shift assays (FTSA) that provide quantitative biophysical characterization of POT1 stability and its interactions. The first assay uses Sypro Orange™ and monitors the thermal stability of POT1 and its binding under a variety of conditions. This assay is useful for the quality control of POT1 preparations, for biophysical characterization of its DNA binding and, potentially, as an efficient screening tool for binding of small molecule drug candidates. The second assay uses a FRET-labeled human telomeric G-quadruplex structure that reveals the effects of POT1 binding on thermal stability from the DNA frame of reference. These complementary assays provide efficient biophysical approaches for the quantitative characterization of multiple aspects of POT1 structure and function. The results from these assays provide thermodynamics details of POT1 folding, the sequence selectivity of its DNA binding and the thermodynamic profile for its binding to its preferred DNA binding sequence. Most significantly, results from these assays elucidate two mechanisms for the inhibition of POT1 –DNA interactions. The first is by competitive inhibition at the POT1 DNA binding site. The second is indirect and is by stabilization of G-quadruplex formation within the normal POT1 single-stranded DNA sequence to prevent POT1 binding.","container-title":"PLoS One","DOI":"10.1371/journal.pone.0245675","ISSN":"1932-6203","issue":"3","journalAbbreviation":"PLoS One","language":"en","note":"number: 3\npublisher: Public Library of Science\nCitation Key: DeLeeuw2021","page":"e0245675","source":"PLoS Journals","title":"POT1 stability and binding measured by fluorescence thermal shift assays","volume":"16","author":[{"family":"DeLeeuw","given":"Lynn W."},{"family":"Monsen","given":"Robert C."},{"family":"Petrauskas","given":"Vytautas"},{"family":"Gray","given":"Robert D."},{"family":"Baranauskiene","given":"Lina"},{"family":"Matulis","given":"Daumantas"},{"family":"Trent","given":"John O."},{"family":"Chaires","given":"Jonathan B."}],"issued":{"date-parts":[["2021"]]}}}],"schema":"https://github.com/citation-style-language/schema/raw/master/csl-citation.json"} </w:instrText>
      </w:r>
      <w:r w:rsidR="002734FC">
        <w:rPr>
          <w:noProof/>
          <w:lang w:eastAsia="lt-LT" w:bidi="ar-SA"/>
        </w:rPr>
        <w:fldChar w:fldCharType="separate"/>
      </w:r>
      <w:r w:rsidR="002734FC" w:rsidRPr="002C519B">
        <w:rPr>
          <w:rFonts w:cs="Times New Roman"/>
        </w:rPr>
        <w:t>DeLeeuw ir kt.</w:t>
      </w:r>
      <w:r w:rsidR="002734FC">
        <w:rPr>
          <w:rFonts w:cs="Times New Roman"/>
        </w:rPr>
        <w:t xml:space="preserve"> (</w:t>
      </w:r>
      <w:r w:rsidR="002734FC" w:rsidRPr="002C519B">
        <w:rPr>
          <w:rFonts w:cs="Times New Roman"/>
        </w:rPr>
        <w:t>2021)</w:t>
      </w:r>
      <w:r w:rsidR="002734FC">
        <w:rPr>
          <w:noProof/>
          <w:lang w:eastAsia="lt-LT" w:bidi="ar-SA"/>
        </w:rPr>
        <w:fldChar w:fldCharType="end"/>
      </w:r>
      <w:r w:rsidR="002734FC" w:rsidRPr="002C519B">
        <w:rPr>
          <w:noProof/>
          <w:lang w:eastAsia="lt-LT" w:bidi="ar-SA"/>
        </w:rPr>
        <w:t>. (</w:t>
      </w:r>
      <w:r w:rsidR="002734FC" w:rsidRPr="002C519B">
        <w:rPr>
          <w:b/>
          <w:noProof/>
          <w:lang w:eastAsia="lt-LT" w:bidi="ar-SA"/>
        </w:rPr>
        <w:t>C</w:t>
      </w:r>
      <w:r w:rsidR="002734FC" w:rsidRPr="002C519B">
        <w:rPr>
          <w:noProof/>
          <w:lang w:eastAsia="lt-LT" w:bidi="ar-SA"/>
        </w:rPr>
        <w:t xml:space="preserve">) Iliustracija, </w:t>
      </w:r>
      <w:r w:rsidR="002734FC" w:rsidRPr="00397166">
        <w:t>adaptuota</w:t>
      </w:r>
      <w:r w:rsidR="002734FC" w:rsidRPr="002C519B">
        <w:rPr>
          <w:noProof/>
          <w:lang w:eastAsia="lt-LT" w:bidi="ar-SA"/>
        </w:rPr>
        <w:t xml:space="preserve"> iš</w:t>
      </w:r>
      <w:r w:rsidR="002734FC">
        <w:rPr>
          <w:noProof/>
          <w:lang w:eastAsia="lt-LT" w:bidi="ar-SA"/>
        </w:rPr>
        <w:t xml:space="preserve"> </w:t>
      </w:r>
      <w:r w:rsidR="002734FC">
        <w:rPr>
          <w:noProof/>
          <w:lang w:eastAsia="lt-LT" w:bidi="ar-SA"/>
        </w:rPr>
        <w:fldChar w:fldCharType="begin"/>
      </w:r>
      <w:r w:rsidR="002734FC">
        <w:rPr>
          <w:noProof/>
          <w:lang w:eastAsia="lt-LT" w:bidi="ar-SA"/>
        </w:rPr>
        <w:instrText xml:space="preserve"> ADDIN ZOTERO_ITEM CSL_CITATION {"citationID":"CnSCNaSX","properties":{"formattedCitation":"(Petrauskas ir kt., 2024)","plainCitation":"(Petrauskas ir kt., 2024)","noteIndex":0},"citationItems":[{"id":6005,"uris":["http://zotero.org/users/2219072/items/QKG8LLH6"],"itemData":{"id":6005,"type":"article-journal","abstract":"Accurate determination of protein-ligand affinity is essential for drug design when new compounds should be ranked according to their dissociation constants Kd. The thermal shift assay (TSA) is a technique used both for protein stability and ligand Kd measurements. Here, we review the principles of the TSA and describe the advantages and limitations of its use for protein-ligand affinity measurements. The TSA is a very powerful technique to determine protein-ligand affinity because it accurately measures over an extremely large dynamic range of affinities from milimolar to picomolar in a single experiment. To help users analyze TSA data for protein-ligand affinity determination, we recently introduced a web-based application, Thermott, that provides solutions to thermodynamic equations that include the enthalpies and heat capacities of the protein unfolding and protein-ligand binding reactions.","container-title":"TrAC Trends in Analytical Chemistry","DOI":"10.1016/j.trac.2023.117417","ISSN":"0165-9936","journalAbbreviation":"TrAC Trends in Analytical Chemistry","page":"117417","source":"ScienceDirect","title":"Thermal shift assay for protein–ligand dissociation constant determination","volume":"170","author":[{"family":"Petrauskas","given":"Vytautas"},{"family":"Kazlauskas","given":"Egidijus"},{"family":"Gedgaudas","given":"Marius"},{"family":"Baranauskienė","given":"Lina"},{"family":"Zubrienė","given":"Asta"},{"family":"Matulis","given":"Daumantas"}],"issued":{"date-parts":[["2024"]]}}}],"schema":"https://github.com/citation-style-language/schema/raw/master/csl-citation.json"} </w:instrText>
      </w:r>
      <w:r w:rsidR="002734FC">
        <w:rPr>
          <w:noProof/>
          <w:lang w:eastAsia="lt-LT" w:bidi="ar-SA"/>
        </w:rPr>
        <w:fldChar w:fldCharType="separate"/>
      </w:r>
      <w:r w:rsidR="002734FC">
        <w:rPr>
          <w:rFonts w:cs="Times New Roman"/>
        </w:rPr>
        <w:t>Petrauskas ir kt. (</w:t>
      </w:r>
      <w:r w:rsidR="002734FC" w:rsidRPr="007D5F5B">
        <w:rPr>
          <w:rFonts w:cs="Times New Roman"/>
        </w:rPr>
        <w:t>2024)</w:t>
      </w:r>
      <w:r w:rsidR="002734FC">
        <w:rPr>
          <w:noProof/>
          <w:lang w:eastAsia="lt-LT" w:bidi="ar-SA"/>
        </w:rPr>
        <w:fldChar w:fldCharType="end"/>
      </w:r>
      <w:r w:rsidR="002734FC" w:rsidRPr="002C519B">
        <w:rPr>
          <w:noProof/>
          <w:lang w:eastAsia="lt-LT" w:bidi="ar-SA"/>
        </w:rPr>
        <w:t>. (</w:t>
      </w:r>
      <w:r w:rsidR="002734FC" w:rsidRPr="007D5F5B">
        <w:rPr>
          <w:b/>
          <w:noProof/>
          <w:lang w:eastAsia="lt-LT" w:bidi="ar-SA"/>
        </w:rPr>
        <w:t>D</w:t>
      </w:r>
      <w:r w:rsidR="002734FC" w:rsidRPr="002C519B">
        <w:rPr>
          <w:noProof/>
          <w:lang w:eastAsia="lt-LT" w:bidi="ar-SA"/>
        </w:rPr>
        <w:t>) Fluorescencinės mikroskopijos nuotrauka, adaptuota iš</w:t>
      </w:r>
      <w:r w:rsidR="002734FC">
        <w:rPr>
          <w:noProof/>
          <w:lang w:eastAsia="lt-LT" w:bidi="ar-SA"/>
        </w:rPr>
        <w:t xml:space="preserve"> </w:t>
      </w:r>
      <w:r w:rsidR="002734FC">
        <w:rPr>
          <w:noProof/>
          <w:lang w:eastAsia="lt-LT" w:bidi="ar-SA"/>
        </w:rPr>
        <w:fldChar w:fldCharType="begin"/>
      </w:r>
      <w:r w:rsidR="002734FC">
        <w:rPr>
          <w:noProof/>
          <w:lang w:eastAsia="lt-LT" w:bidi="ar-SA"/>
        </w:rPr>
        <w:instrText xml:space="preserve"> ADDIN ZOTERO_ITEM CSL_CITATION {"citationID":"bH9u3HrG","properties":{"formattedCitation":"(Matulien\\uc0\\u279{} ir kt., 2022)","plainCitation":"(Matulienė ir kt., 2022)","noteIndex":0},"citationItems":[{"id":6000,"uris":["http://zotero.org/users/2219072/items/PAS5N42S"],"itemData":{"id":6000,"type":"article-journal","abstract":"Numerous human cancers, especially hypoxic solid tumors, express carbonic anhydrase IX (CAIX), a transmembrane protein with its catalytic domain located in the extracellular space. CAIX acidifies the tumor microenvironment, promotes metastases and invasiveness, and is therefore considered a promising anticancer target. We have designed a series of high affinity and high selectivity fluorescein-labeled compounds targeting CAIX to visualize and quantify CAIX expression in cancer cells. The competitive binding model enabled the determination of common CA inhibitors’ dissociation constants for CAIX expressed in exponentially growing cancer cells. All tested sulfonamide compounds bound the proliferating cells with similar affinity as to recombinantly purified CAIX. The probes are applicable for the design of selective drug-like compounds for CAIX and the competition strategy could be applied to other drug targets.","container-title":"Scientific Reports","DOI":"10.1038/s41598-022-22436-1","ISSN":"2045-2322","issue":"1","journalAbbreviation":"Sci Rep","language":"en","license":"2022 The Author(s)","note":"number: 1\npublisher: Nature Publishing Group","page":"17644","source":"www.nature.com","title":"Picomolar fluorescent probes for compound affinity determination to carbonic anhydrase IX expressed in live cancer cells","volume":"12","author":[{"family":"Matulienė","given":"Jurgita"},{"family":"Žvinys","given":"Gediminas"},{"family":"Petrauskas","given":"Vytautas"},{"family":"Kvietkauskaitė","given":"Agnė"},{"family":"Zakšauskas","given":"Audrius"},{"family":"Shubin","given":"Kirill"},{"family":"Zubrienė","given":"Asta"},{"family":"Baranauskienė","given":"Lina"},{"family":"Kačenauskaitė","given":"Lina"},{"family":"Kopanchuk","given":"Sergei"},{"family":"Veiksina","given":"Santa"},{"family":"Paketurytė-Latvė","given":"Vaida"},{"family":"Smirnovienė","given":"Joana"},{"family":"Juozapaitienė","given":"Vaida"},{"family":"Mickevičiūtė","given":"Aurelija"},{"family":"Michailovienė","given":"Vilma"},{"family":"Jachno","given":"Jelena"},{"family":"Stravinskienė","given":"Dovilė"},{"family":"Sližienė","given":"Aistė"},{"family":"Petrošiūtė","given":"Agnė"},{"family":"Becker","given":"Holger M."},{"family":"Kazokaitė-Adomaitienė","given":"Justina"},{"family":"Yaromina","given":"Ala"},{"family":"Čapkauskaitė","given":"Edita"},{"family":"Rinken","given":"Ago"},{"family":"Dudutienė","given":"Virginija"},{"family":"Dubois","given":"Ludwig J."},{"family":"Matulis","given":"Daumantas"}],"issued":{"date-parts":[["2022"]]}}}],"schema":"https://github.com/citation-style-language/schema/raw/master/csl-citation.json"} </w:instrText>
      </w:r>
      <w:r w:rsidR="002734FC">
        <w:rPr>
          <w:noProof/>
          <w:lang w:eastAsia="lt-LT" w:bidi="ar-SA"/>
        </w:rPr>
        <w:fldChar w:fldCharType="separate"/>
      </w:r>
      <w:r w:rsidR="002734FC" w:rsidRPr="007D5F5B">
        <w:rPr>
          <w:rFonts w:cs="Times New Roman"/>
          <w:szCs w:val="24"/>
        </w:rPr>
        <w:t>Matulienė</w:t>
      </w:r>
      <w:r w:rsidR="002734FC">
        <w:rPr>
          <w:rFonts w:cs="Times New Roman"/>
          <w:szCs w:val="24"/>
        </w:rPr>
        <w:t xml:space="preserve"> ir kt.</w:t>
      </w:r>
      <w:r w:rsidR="002734FC" w:rsidRPr="007D5F5B">
        <w:rPr>
          <w:rFonts w:cs="Times New Roman"/>
          <w:szCs w:val="24"/>
        </w:rPr>
        <w:t xml:space="preserve"> </w:t>
      </w:r>
      <w:r w:rsidR="002734FC">
        <w:rPr>
          <w:rFonts w:cs="Times New Roman"/>
          <w:szCs w:val="24"/>
        </w:rPr>
        <w:t>(</w:t>
      </w:r>
      <w:r w:rsidR="002734FC" w:rsidRPr="007D5F5B">
        <w:rPr>
          <w:rFonts w:cs="Times New Roman"/>
          <w:szCs w:val="24"/>
        </w:rPr>
        <w:t>2022)</w:t>
      </w:r>
      <w:r w:rsidR="002734FC">
        <w:rPr>
          <w:noProof/>
          <w:lang w:eastAsia="lt-LT" w:bidi="ar-SA"/>
        </w:rPr>
        <w:fldChar w:fldCharType="end"/>
      </w:r>
      <w:r w:rsidR="002734FC" w:rsidRPr="002C519B">
        <w:rPr>
          <w:noProof/>
          <w:lang w:eastAsia="lt-LT" w:bidi="ar-SA"/>
        </w:rPr>
        <w:t>.</w:t>
      </w:r>
    </w:p>
    <w:p w14:paraId="3965B842" w14:textId="77777777" w:rsidR="00CF1B58" w:rsidRDefault="00CF1B58" w:rsidP="00397166">
      <w:pPr>
        <w:spacing w:before="240"/>
        <w:contextualSpacing w:val="0"/>
      </w:pPr>
      <w:r>
        <w:t xml:space="preserve">Eksperimentiniai duomenys sklaidos diagramose žymimi taškais (apskritimai, trikampiai, kvadratai ir t. t.), jų jungti kreivėmis nereikia. Išimtis taikoma eksperimentiniams duomenims, kurie turi labai daug taškų (pvz., spektrai); tokiu atveju duomenų taškai nerodomi, tačiau jie jungiami ištisinėmis linijomis. Teoriniai (modelių) duomenys sklaidos diagramose rodomi kreivėmis (ištisinės, punktyrinės, taškinės ir pan.) be taškų. Jei duomenų atvaizdavimui reikia skalės, kuri apima kelias </w:t>
      </w:r>
      <w:r>
        <w:lastRenderedPageBreak/>
        <w:t>eiles (pvz., koncentracijų skalė nuo 10</w:t>
      </w:r>
      <w:r>
        <w:rPr>
          <w:vertAlign w:val="superscript"/>
        </w:rPr>
        <w:t>−9</w:t>
      </w:r>
      <w:r>
        <w:rPr>
          <w:rFonts w:cs="Times New Roman"/>
          <w:vertAlign w:val="superscript"/>
        </w:rPr>
        <w:t> </w:t>
      </w:r>
      <w:r>
        <w:t>M iki 10</w:t>
      </w:r>
      <w:r>
        <w:rPr>
          <w:vertAlign w:val="superscript"/>
        </w:rPr>
        <w:t>−3</w:t>
      </w:r>
      <w:r>
        <w:rPr>
          <w:rFonts w:cs="Times New Roman"/>
          <w:vertAlign w:val="superscript"/>
        </w:rPr>
        <w:t> </w:t>
      </w:r>
      <w:r>
        <w:t xml:space="preserve">M), reikėtų rinktis logaritminę skalę. Skalėse venkite labai didelių arba labai mažų skaičių, kuriems užrašyti reikia daug simbolių. Vietoje to geriau rinktis metrinius priešdėlius (G, M, k, m, µ, n, ir kt.) arba mokslinį žymėjimą (angl. </w:t>
      </w:r>
      <w:proofErr w:type="spellStart"/>
      <w:r>
        <w:rPr>
          <w:i/>
          <w:iCs/>
        </w:rPr>
        <w:t>scientific</w:t>
      </w:r>
      <w:proofErr w:type="spellEnd"/>
      <w:r>
        <w:rPr>
          <w:i/>
          <w:iCs/>
        </w:rPr>
        <w:t xml:space="preserve"> </w:t>
      </w:r>
      <w:proofErr w:type="spellStart"/>
      <w:r>
        <w:rPr>
          <w:i/>
          <w:iCs/>
        </w:rPr>
        <w:t>notation</w:t>
      </w:r>
      <w:proofErr w:type="spellEnd"/>
      <w:r>
        <w:t>, 10</w:t>
      </w:r>
      <w:r>
        <w:rPr>
          <w:vertAlign w:val="superscript"/>
        </w:rPr>
        <w:t>−6</w:t>
      </w:r>
      <w:r>
        <w:t>, 10</w:t>
      </w:r>
      <w:r>
        <w:rPr>
          <w:vertAlign w:val="superscript"/>
        </w:rPr>
        <w:t>−3</w:t>
      </w:r>
      <w:r>
        <w:t xml:space="preserve"> ir t.</w:t>
      </w:r>
      <w:r>
        <w:rPr>
          <w:rFonts w:cs="Times New Roman"/>
        </w:rPr>
        <w:t> </w:t>
      </w:r>
      <w:r>
        <w:t>t.), kurie leid</w:t>
      </w:r>
      <w:r>
        <w:rPr>
          <w:rFonts w:ascii="Palatino Linotype" w:hAnsi="Palatino Linotype" w:cs="Palatino Linotype"/>
        </w:rPr>
        <w:t>ž</w:t>
      </w:r>
      <w:r>
        <w:t>ia i</w:t>
      </w:r>
      <w:r>
        <w:rPr>
          <w:rFonts w:ascii="Palatino Linotype" w:hAnsi="Palatino Linotype" w:cs="Palatino Linotype"/>
        </w:rPr>
        <w:t>š</w:t>
      </w:r>
      <w:r>
        <w:t>vengti perteklini</w:t>
      </w:r>
      <w:r>
        <w:rPr>
          <w:rFonts w:ascii="Palatino Linotype" w:hAnsi="Palatino Linotype" w:cs="Palatino Linotype"/>
        </w:rPr>
        <w:t>ų</w:t>
      </w:r>
      <w:r>
        <w:t xml:space="preserve"> simboli</w:t>
      </w:r>
      <w:r>
        <w:rPr>
          <w:rFonts w:ascii="Palatino Linotype" w:hAnsi="Palatino Linotype" w:cs="Palatino Linotype"/>
        </w:rPr>
        <w:t>ų</w:t>
      </w:r>
      <w:r>
        <w:t xml:space="preserve"> diagramose.</w:t>
      </w:r>
    </w:p>
    <w:p w14:paraId="0E5A8CE7" w14:textId="77777777" w:rsidR="004D277A" w:rsidRPr="00FF6931" w:rsidRDefault="004D277A" w:rsidP="009D3A15">
      <w:pPr>
        <w:ind w:firstLine="0"/>
      </w:pPr>
    </w:p>
    <w:p w14:paraId="42DC33FD" w14:textId="77777777" w:rsidR="00791894" w:rsidRDefault="001B7FDE" w:rsidP="00D22D59">
      <w:r>
        <w:br w:type="page"/>
      </w:r>
    </w:p>
    <w:p w14:paraId="14C341FC" w14:textId="77777777" w:rsidR="00791894" w:rsidRDefault="001B7FDE" w:rsidP="007675D9">
      <w:pPr>
        <w:pStyle w:val="Heading1"/>
      </w:pPr>
      <w:bookmarkStart w:id="17" w:name="_Toc183621370"/>
      <w:r>
        <w:lastRenderedPageBreak/>
        <w:t>Išvados</w:t>
      </w:r>
      <w:bookmarkEnd w:id="17"/>
    </w:p>
    <w:p w14:paraId="21C7288E" w14:textId="77777777" w:rsidR="00B80B01" w:rsidRDefault="00B80B01" w:rsidP="00B80B01">
      <w:r>
        <w:t>Išvadų skyriuje yra pateikiami svarbiausi darbo teiginiai, kurie yra tiesioginiai atsakymai į iškeltą tikslą ir suformuluotus uždavinius. Išvados – tai trumpi, konkretūs ir aiškūs teiginiai, be išplėstinio aiškinimo. Jos turėtų pasakyti, kas naujo sužinota atlikus darbą, o ne konstatuoti rezultatuose pateiktus faktus ar pakartoti kituose darbo skyriuose išdėstytus apibendrinimus, pateikiant juos kaip dėstomosios dalies santrauką. Išvadas rekomenduojama pagrįsti skaičiais ir statistinių testų rezultatais.</w:t>
      </w:r>
    </w:p>
    <w:p w14:paraId="706B986A" w14:textId="77777777" w:rsidR="00B80B01" w:rsidRDefault="00B80B01" w:rsidP="00B80B01">
      <w:r>
        <w:t>Tinkamų išvadų pavyzdžiai:</w:t>
      </w:r>
    </w:p>
    <w:p w14:paraId="6AC309A0" w14:textId="77777777" w:rsidR="00B80B01" w:rsidRDefault="00B80B01" w:rsidP="00B80B01">
      <w:pPr>
        <w:pStyle w:val="ListParagraph"/>
        <w:numPr>
          <w:ilvl w:val="0"/>
          <w:numId w:val="19"/>
        </w:numPr>
      </w:pPr>
      <w:proofErr w:type="spellStart"/>
      <w:r>
        <w:t>Tiazolil</w:t>
      </w:r>
      <w:proofErr w:type="spellEnd"/>
      <w:r>
        <w:t xml:space="preserve">- pakaitą para padėtyje turinčių </w:t>
      </w:r>
      <w:proofErr w:type="spellStart"/>
      <w:r>
        <w:t>benzensulfonamidų</w:t>
      </w:r>
      <w:proofErr w:type="spellEnd"/>
      <w:r>
        <w:t xml:space="preserve"> jungimasis su </w:t>
      </w:r>
      <w:proofErr w:type="spellStart"/>
      <w:r>
        <w:t>karboanhidrazėmis</w:t>
      </w:r>
      <w:proofErr w:type="spellEnd"/>
      <w:r>
        <w:t xml:space="preserve"> yra stipresnis nei analogiškų meta pakeistų junginių.</w:t>
      </w:r>
    </w:p>
    <w:p w14:paraId="57552759" w14:textId="77777777" w:rsidR="00B80B01" w:rsidRDefault="00B80B01" w:rsidP="00B80B01">
      <w:pPr>
        <w:pStyle w:val="ListParagraph"/>
        <w:numPr>
          <w:ilvl w:val="0"/>
          <w:numId w:val="19"/>
        </w:numPr>
      </w:pPr>
      <w:r>
        <w:t>Papildoma glicino aminorūgštis SARS-CoV-2 pagrindinės proteazės N-gale sumažina fermento katalizinį efektyvumą 60 kartų.</w:t>
      </w:r>
    </w:p>
    <w:p w14:paraId="78D37492" w14:textId="77777777" w:rsidR="00B80B01" w:rsidRDefault="00B80B01" w:rsidP="00B80B01">
      <w:r>
        <w:t>Netinkamų išvadų pavyzdžiai:</w:t>
      </w:r>
    </w:p>
    <w:p w14:paraId="632BECD0" w14:textId="77777777" w:rsidR="00B80B01" w:rsidRDefault="00B80B01" w:rsidP="00B80B01">
      <w:pPr>
        <w:pStyle w:val="ListParagraph"/>
        <w:numPr>
          <w:ilvl w:val="0"/>
          <w:numId w:val="20"/>
        </w:numPr>
      </w:pPr>
      <w:r>
        <w:t xml:space="preserve">Padaryta literatūros apžvalga </w:t>
      </w:r>
      <w:proofErr w:type="spellStart"/>
      <w:r>
        <w:t>mutantinio</w:t>
      </w:r>
      <w:proofErr w:type="spellEnd"/>
      <w:r>
        <w:t xml:space="preserve"> baltymo gryninimo tema.</w:t>
      </w:r>
    </w:p>
    <w:p w14:paraId="2728D76F" w14:textId="77777777" w:rsidR="00B80B01" w:rsidRDefault="00B80B01" w:rsidP="00B80B01">
      <w:pPr>
        <w:pStyle w:val="ListParagraph"/>
        <w:numPr>
          <w:ilvl w:val="0"/>
          <w:numId w:val="20"/>
        </w:numPr>
      </w:pPr>
      <w:r>
        <w:t xml:space="preserve">Buvo sukurtas genetinis konstruktas, koduojantis baltymą nuo 10 iki 279 </w:t>
      </w:r>
      <w:proofErr w:type="spellStart"/>
      <w:r>
        <w:t>a.r</w:t>
      </w:r>
      <w:proofErr w:type="spellEnd"/>
      <w:r>
        <w:t>.</w:t>
      </w:r>
    </w:p>
    <w:p w14:paraId="64DD7811" w14:textId="77777777" w:rsidR="00B80B01" w:rsidRDefault="00B80B01" w:rsidP="00B80B01">
      <w:r>
        <w:t>Rekomendacijų skyrius esant poreikiui gali būti suformuojamas atskirai nuo išvadų skyriaus. Šiame skyriuje turėtų būti pateikiamos mokslo bendruomenei ar plačiajai visuomenei aktualios rekomendacijos dėl darbo rezultatų pritaikymo ar tolesnių tyrimų krypties.</w:t>
      </w:r>
    </w:p>
    <w:p w14:paraId="1F540D9A" w14:textId="77777777" w:rsidR="00791894" w:rsidRDefault="00791894" w:rsidP="00D22D59"/>
    <w:p w14:paraId="769A9639" w14:textId="77777777" w:rsidR="00791894" w:rsidRDefault="001B7FDE" w:rsidP="00D22D59">
      <w:r>
        <w:br w:type="page"/>
      </w:r>
    </w:p>
    <w:p w14:paraId="2381FB46" w14:textId="77777777" w:rsidR="00792EF2" w:rsidRPr="00792EF2" w:rsidRDefault="00792EF2" w:rsidP="00792EF2">
      <w:pPr>
        <w:pStyle w:val="Heading1"/>
        <w:spacing w:before="0" w:after="0"/>
        <w:rPr>
          <w:color w:val="FFFFFF" w:themeColor="background1"/>
          <w:sz w:val="4"/>
          <w:szCs w:val="4"/>
        </w:rPr>
      </w:pPr>
      <w:bookmarkStart w:id="18" w:name="_Toc183621371"/>
      <w:r w:rsidRPr="00792EF2">
        <w:rPr>
          <w:color w:val="FFFFFF" w:themeColor="background1"/>
          <w:sz w:val="4"/>
          <w:szCs w:val="4"/>
        </w:rPr>
        <w:lastRenderedPageBreak/>
        <w:t>Santrauka</w:t>
      </w:r>
      <w:bookmarkEnd w:id="18"/>
    </w:p>
    <w:p w14:paraId="4C917BEE" w14:textId="77777777" w:rsidR="00B80B01" w:rsidRPr="00792EF2" w:rsidRDefault="00B80B01" w:rsidP="00792EF2">
      <w:pPr>
        <w:pStyle w:val="Standard"/>
        <w:spacing w:line="240" w:lineRule="auto"/>
        <w:jc w:val="center"/>
        <w:rPr>
          <w:rFonts w:asciiTheme="majorHAnsi" w:hAnsiTheme="majorHAnsi" w:cstheme="majorHAnsi"/>
        </w:rPr>
      </w:pPr>
      <w:r w:rsidRPr="00792EF2">
        <w:rPr>
          <w:rFonts w:asciiTheme="majorHAnsi" w:hAnsiTheme="majorHAnsi" w:cstheme="majorHAnsi"/>
        </w:rPr>
        <w:t>VILNIAUS UNIVERSITETAS</w:t>
      </w:r>
    </w:p>
    <w:p w14:paraId="044C2897" w14:textId="77777777" w:rsidR="00B80B01" w:rsidRPr="00792EF2" w:rsidRDefault="00B80B01" w:rsidP="00792EF2">
      <w:pPr>
        <w:pStyle w:val="Standard"/>
        <w:spacing w:line="240" w:lineRule="auto"/>
        <w:jc w:val="center"/>
        <w:rPr>
          <w:rFonts w:asciiTheme="majorHAnsi" w:hAnsiTheme="majorHAnsi" w:cstheme="majorHAnsi"/>
        </w:rPr>
      </w:pPr>
      <w:r w:rsidRPr="00792EF2">
        <w:rPr>
          <w:rFonts w:asciiTheme="majorHAnsi" w:hAnsiTheme="majorHAnsi" w:cstheme="majorHAnsi"/>
        </w:rPr>
        <w:t>GYVYBĖS MOKSLŲ CENTRAS</w:t>
      </w:r>
    </w:p>
    <w:p w14:paraId="78BDD523" w14:textId="77777777" w:rsidR="00B80B01" w:rsidRPr="00792EF2" w:rsidRDefault="00B80B01" w:rsidP="00792EF2">
      <w:pPr>
        <w:pStyle w:val="Standard"/>
        <w:spacing w:before="240"/>
        <w:contextualSpacing w:val="0"/>
        <w:jc w:val="center"/>
        <w:rPr>
          <w:rFonts w:asciiTheme="majorHAnsi" w:hAnsiTheme="majorHAnsi" w:cstheme="majorHAnsi"/>
          <w:b/>
        </w:rPr>
      </w:pPr>
      <w:r w:rsidRPr="00792EF2">
        <w:rPr>
          <w:rFonts w:asciiTheme="majorHAnsi" w:hAnsiTheme="majorHAnsi" w:cstheme="majorHAnsi"/>
          <w:b/>
        </w:rPr>
        <w:t>Vardas Pavardė</w:t>
      </w:r>
    </w:p>
    <w:p w14:paraId="25A686F8" w14:textId="77777777" w:rsidR="00B80B01" w:rsidRPr="00792EF2" w:rsidRDefault="00B80B01" w:rsidP="00B80B01">
      <w:pPr>
        <w:pStyle w:val="Standard"/>
        <w:jc w:val="center"/>
        <w:rPr>
          <w:rFonts w:asciiTheme="majorHAnsi" w:hAnsiTheme="majorHAnsi" w:cstheme="majorHAnsi"/>
        </w:rPr>
      </w:pPr>
      <w:r w:rsidRPr="00792EF2">
        <w:rPr>
          <w:rFonts w:asciiTheme="majorHAnsi" w:hAnsiTheme="majorHAnsi" w:cstheme="majorHAnsi"/>
        </w:rPr>
        <w:t>Magistro baigiamasis darbas</w:t>
      </w:r>
    </w:p>
    <w:p w14:paraId="00949743" w14:textId="77777777" w:rsidR="00B80B01" w:rsidRPr="00792EF2" w:rsidRDefault="00B80B01" w:rsidP="00B80B01">
      <w:pPr>
        <w:pStyle w:val="Standard"/>
        <w:jc w:val="center"/>
        <w:rPr>
          <w:rFonts w:asciiTheme="majorHAnsi" w:hAnsiTheme="majorHAnsi" w:cstheme="majorHAnsi"/>
          <w:b/>
        </w:rPr>
      </w:pPr>
      <w:r w:rsidRPr="00792EF2">
        <w:rPr>
          <w:rFonts w:asciiTheme="majorHAnsi" w:hAnsiTheme="majorHAnsi" w:cstheme="majorHAnsi"/>
          <w:b/>
        </w:rPr>
        <w:t>Magistro studijų programos baigiamojo darbo pavadinimas</w:t>
      </w:r>
    </w:p>
    <w:p w14:paraId="5F7B9D89" w14:textId="77777777" w:rsidR="00B80B01" w:rsidRPr="00792EF2" w:rsidRDefault="00B80B01" w:rsidP="00B80B01">
      <w:pPr>
        <w:pStyle w:val="Standard"/>
        <w:jc w:val="center"/>
        <w:rPr>
          <w:rFonts w:asciiTheme="majorHAnsi" w:hAnsiTheme="majorHAnsi" w:cstheme="majorHAnsi"/>
        </w:rPr>
      </w:pPr>
      <w:bookmarkStart w:id="19" w:name="__RefHeading___Toc12399_1435749358"/>
      <w:r w:rsidRPr="00792EF2">
        <w:rPr>
          <w:rFonts w:asciiTheme="majorHAnsi" w:hAnsiTheme="majorHAnsi" w:cstheme="majorHAnsi"/>
        </w:rPr>
        <w:t>SANTRAUKA</w:t>
      </w:r>
      <w:bookmarkEnd w:id="19"/>
    </w:p>
    <w:p w14:paraId="24577374" w14:textId="77777777" w:rsidR="00B80B01" w:rsidRDefault="00B80B01" w:rsidP="00B80B01">
      <w:pPr>
        <w:pStyle w:val="Standard"/>
      </w:pPr>
      <w:r>
        <w:t>Santrauka lietuvių kalba yra formatuojama remiantis GMC baigiamųjų darbų ruošimo metodiniu aprašu. Baigiamuosiuose rašto darbuose turi būti pateiktos santraukos lietuvių ir anglų kalbomis. Jei darbą rašo kitos šalies pilietis nemokantis lietuvių kalbos, lietuviška santrauka yra neprivaloma. Kiekvienos iš santraukų apimtis neturi būti didesnė nei vienas puslapis. Santraukoje turėtų būti pateikta institucija, autorius, pavadinimas ir glausta baigiamojo darbo apžvalga, atspindinti temos aktualumą, darbo objektą, tikslą ir uždavinius, metodus bei rezultatus. Santraukoje rekomenduojama akcentuoti ir svarbiausias išvadas bei darbo reikšmingumą.</w:t>
      </w:r>
    </w:p>
    <w:p w14:paraId="49F4F08C" w14:textId="77777777" w:rsidR="00B80B01" w:rsidRDefault="00B80B01" w:rsidP="00B80B01">
      <w:pPr>
        <w:pStyle w:val="Standard"/>
      </w:pPr>
      <w:r>
        <w:t>Santraukos lietuvių ir anglų kalbomis neprivalo būti viena kitos pažodinis vertimas, tačiau stenkitės jas padaryti kiek įmanoma panašesnes, t.</w:t>
      </w:r>
      <w:r>
        <w:rPr>
          <w:rFonts w:cs="Times New Roman"/>
        </w:rPr>
        <w:t> </w:t>
      </w:r>
      <w:r>
        <w:t>y. anglų kalbos santraukos variante negali atsirasti teiginių, kurių nėra lietuviškoje santraukoje.</w:t>
      </w:r>
    </w:p>
    <w:p w14:paraId="54BD08AB" w14:textId="77777777" w:rsidR="00B80B01" w:rsidRDefault="00B80B01">
      <w:pPr>
        <w:autoSpaceDN/>
        <w:spacing w:after="200" w:line="276" w:lineRule="auto"/>
        <w:ind w:firstLine="0"/>
        <w:contextualSpacing w:val="0"/>
        <w:jc w:val="left"/>
        <w:textAlignment w:val="auto"/>
      </w:pPr>
      <w:r>
        <w:br w:type="page"/>
      </w:r>
    </w:p>
    <w:p w14:paraId="730271D8" w14:textId="77777777" w:rsidR="00792EF2" w:rsidRPr="00792EF2" w:rsidRDefault="00792EF2" w:rsidP="00792EF2">
      <w:pPr>
        <w:pStyle w:val="Heading1"/>
        <w:spacing w:before="0" w:after="0"/>
        <w:rPr>
          <w:color w:val="FFFFFF" w:themeColor="background1"/>
          <w:sz w:val="4"/>
          <w:szCs w:val="4"/>
        </w:rPr>
      </w:pPr>
      <w:bookmarkStart w:id="20" w:name="_Toc183621372"/>
      <w:proofErr w:type="spellStart"/>
      <w:r>
        <w:rPr>
          <w:color w:val="FFFFFF" w:themeColor="background1"/>
          <w:sz w:val="4"/>
          <w:szCs w:val="4"/>
        </w:rPr>
        <w:lastRenderedPageBreak/>
        <w:t>Abstract</w:t>
      </w:r>
      <w:bookmarkEnd w:id="20"/>
      <w:proofErr w:type="spellEnd"/>
    </w:p>
    <w:p w14:paraId="3FD6509F" w14:textId="77777777" w:rsidR="00792EF2" w:rsidRPr="00792EF2" w:rsidRDefault="00792EF2" w:rsidP="00792EF2">
      <w:pPr>
        <w:pStyle w:val="Standard"/>
        <w:spacing w:line="240" w:lineRule="auto"/>
        <w:jc w:val="center"/>
        <w:rPr>
          <w:rFonts w:asciiTheme="majorHAnsi" w:hAnsiTheme="majorHAnsi" w:cstheme="majorHAnsi"/>
        </w:rPr>
      </w:pPr>
      <w:r w:rsidRPr="00792EF2">
        <w:rPr>
          <w:rFonts w:asciiTheme="majorHAnsi" w:hAnsiTheme="majorHAnsi" w:cstheme="majorHAnsi"/>
        </w:rPr>
        <w:t>VILNIUS UNIVERSIT</w:t>
      </w:r>
      <w:r>
        <w:rPr>
          <w:rFonts w:asciiTheme="majorHAnsi" w:hAnsiTheme="majorHAnsi" w:cstheme="majorHAnsi"/>
        </w:rPr>
        <w:t>Y</w:t>
      </w:r>
    </w:p>
    <w:p w14:paraId="1BDFC5FF" w14:textId="77777777" w:rsidR="00792EF2" w:rsidRPr="00792EF2" w:rsidRDefault="00792EF2" w:rsidP="00792EF2">
      <w:pPr>
        <w:pStyle w:val="Standard"/>
        <w:spacing w:line="240" w:lineRule="auto"/>
        <w:jc w:val="center"/>
        <w:rPr>
          <w:rFonts w:asciiTheme="majorHAnsi" w:hAnsiTheme="majorHAnsi" w:cstheme="majorHAnsi"/>
        </w:rPr>
      </w:pPr>
      <w:r w:rsidRPr="00792EF2">
        <w:rPr>
          <w:rFonts w:asciiTheme="majorHAnsi" w:hAnsiTheme="majorHAnsi" w:cstheme="majorHAnsi"/>
        </w:rPr>
        <w:t>LIFE SCIENCES CENTER</w:t>
      </w:r>
    </w:p>
    <w:p w14:paraId="72BB8021" w14:textId="77777777" w:rsidR="00792EF2" w:rsidRPr="00792EF2" w:rsidRDefault="00792EF2" w:rsidP="00792EF2">
      <w:pPr>
        <w:pStyle w:val="Standard"/>
        <w:spacing w:before="240"/>
        <w:contextualSpacing w:val="0"/>
        <w:jc w:val="center"/>
        <w:rPr>
          <w:rFonts w:asciiTheme="majorHAnsi" w:hAnsiTheme="majorHAnsi" w:cstheme="majorHAnsi"/>
          <w:b/>
        </w:rPr>
      </w:pPr>
      <w:r w:rsidRPr="00792EF2">
        <w:rPr>
          <w:rFonts w:asciiTheme="majorHAnsi" w:hAnsiTheme="majorHAnsi" w:cstheme="majorHAnsi"/>
          <w:b/>
        </w:rPr>
        <w:t>Vardas Pavardė</w:t>
      </w:r>
    </w:p>
    <w:p w14:paraId="1E2F708B" w14:textId="77777777" w:rsidR="00792EF2" w:rsidRPr="00792EF2" w:rsidRDefault="00792EF2" w:rsidP="00792EF2">
      <w:pPr>
        <w:pStyle w:val="Standard"/>
        <w:jc w:val="center"/>
        <w:rPr>
          <w:rFonts w:asciiTheme="majorHAnsi" w:hAnsiTheme="majorHAnsi" w:cstheme="majorHAnsi"/>
        </w:rPr>
      </w:pPr>
      <w:proofErr w:type="spellStart"/>
      <w:r w:rsidRPr="00792EF2">
        <w:rPr>
          <w:rFonts w:asciiTheme="majorHAnsi" w:hAnsiTheme="majorHAnsi" w:cstheme="majorHAnsi"/>
        </w:rPr>
        <w:t>Master’s</w:t>
      </w:r>
      <w:proofErr w:type="spellEnd"/>
      <w:r w:rsidRPr="00792EF2">
        <w:rPr>
          <w:rFonts w:asciiTheme="majorHAnsi" w:hAnsiTheme="majorHAnsi" w:cstheme="majorHAnsi"/>
        </w:rPr>
        <w:t xml:space="preserve"> </w:t>
      </w:r>
      <w:proofErr w:type="spellStart"/>
      <w:r w:rsidRPr="00792EF2">
        <w:rPr>
          <w:rFonts w:asciiTheme="majorHAnsi" w:hAnsiTheme="majorHAnsi" w:cstheme="majorHAnsi"/>
        </w:rPr>
        <w:t>thesis</w:t>
      </w:r>
      <w:proofErr w:type="spellEnd"/>
    </w:p>
    <w:p w14:paraId="1CFD5665" w14:textId="77777777" w:rsidR="00792EF2" w:rsidRPr="00792EF2" w:rsidRDefault="00792EF2" w:rsidP="00792EF2">
      <w:pPr>
        <w:pStyle w:val="Standard"/>
        <w:jc w:val="center"/>
        <w:rPr>
          <w:rFonts w:asciiTheme="majorHAnsi" w:hAnsiTheme="majorHAnsi" w:cstheme="majorHAnsi"/>
          <w:b/>
        </w:rPr>
      </w:pPr>
      <w:proofErr w:type="spellStart"/>
      <w:r w:rsidRPr="00792EF2">
        <w:rPr>
          <w:rFonts w:asciiTheme="majorHAnsi" w:hAnsiTheme="majorHAnsi" w:cstheme="majorHAnsi"/>
          <w:b/>
        </w:rPr>
        <w:t>Master’s</w:t>
      </w:r>
      <w:proofErr w:type="spellEnd"/>
      <w:r w:rsidRPr="00792EF2">
        <w:rPr>
          <w:rFonts w:asciiTheme="majorHAnsi" w:hAnsiTheme="majorHAnsi" w:cstheme="majorHAnsi"/>
          <w:b/>
        </w:rPr>
        <w:t xml:space="preserve"> </w:t>
      </w:r>
      <w:proofErr w:type="spellStart"/>
      <w:r w:rsidRPr="00792EF2">
        <w:rPr>
          <w:rFonts w:asciiTheme="majorHAnsi" w:hAnsiTheme="majorHAnsi" w:cstheme="majorHAnsi"/>
          <w:b/>
        </w:rPr>
        <w:t>Thesis</w:t>
      </w:r>
      <w:proofErr w:type="spellEnd"/>
      <w:r w:rsidRPr="00792EF2">
        <w:rPr>
          <w:rFonts w:asciiTheme="majorHAnsi" w:hAnsiTheme="majorHAnsi" w:cstheme="majorHAnsi"/>
          <w:b/>
        </w:rPr>
        <w:t xml:space="preserve"> </w:t>
      </w:r>
      <w:proofErr w:type="spellStart"/>
      <w:r w:rsidRPr="00792EF2">
        <w:rPr>
          <w:rFonts w:asciiTheme="majorHAnsi" w:hAnsiTheme="majorHAnsi" w:cstheme="majorHAnsi"/>
          <w:b/>
        </w:rPr>
        <w:t>Title</w:t>
      </w:r>
      <w:proofErr w:type="spellEnd"/>
    </w:p>
    <w:p w14:paraId="3DE8289F" w14:textId="77777777" w:rsidR="00792EF2" w:rsidRPr="00792EF2" w:rsidRDefault="00792EF2" w:rsidP="00792EF2">
      <w:pPr>
        <w:pStyle w:val="Standard"/>
        <w:jc w:val="center"/>
        <w:rPr>
          <w:rFonts w:asciiTheme="majorHAnsi" w:hAnsiTheme="majorHAnsi" w:cstheme="majorHAnsi"/>
        </w:rPr>
      </w:pPr>
      <w:r w:rsidRPr="00792EF2">
        <w:rPr>
          <w:rFonts w:asciiTheme="majorHAnsi" w:hAnsiTheme="majorHAnsi" w:cstheme="majorHAnsi"/>
        </w:rPr>
        <w:t>ABSTRACT</w:t>
      </w:r>
    </w:p>
    <w:p w14:paraId="0E6B43FE" w14:textId="77777777" w:rsidR="00792EF2" w:rsidRDefault="00792EF2" w:rsidP="00792EF2">
      <w:pPr>
        <w:pStyle w:val="Standard"/>
        <w:rPr>
          <w:lang w:val="en-US"/>
        </w:rPr>
      </w:pPr>
      <w:r>
        <w:rPr>
          <w:lang w:val="en-US"/>
        </w:rPr>
        <w:t>The final written thesis must include abstracts in Lithuanian and English. A Lithuanian abstract is optional if the thesis is written by a national of another country who does not speak Lithuanian. Each of the abstracts must be no more than one page. The abstract should include the institution, the author, the title, and a brief overview of the thesis, reflecting the relevance of the topic, the subject, the aim and objectives, the methods and the results. It is recommended that the abstract should also highlight the main conclusions and the significance of the work.</w:t>
      </w:r>
    </w:p>
    <w:p w14:paraId="441C0DC9" w14:textId="77777777" w:rsidR="00792EF2" w:rsidRDefault="00792EF2" w:rsidP="00792EF2">
      <w:pPr>
        <w:pStyle w:val="Standard"/>
        <w:rPr>
          <w:lang w:val="en-US"/>
        </w:rPr>
      </w:pPr>
      <w:r>
        <w:rPr>
          <w:lang w:val="en-US"/>
        </w:rPr>
        <w:t xml:space="preserve">The English and Lithuanian abstracts do not have to be a literal translation of each other but try to make them as similar as possible, </w:t>
      </w:r>
      <w:proofErr w:type="spellStart"/>
      <w:r>
        <w:rPr>
          <w:lang w:val="en-US"/>
        </w:rPr>
        <w:t>i</w:t>
      </w:r>
      <w:proofErr w:type="spellEnd"/>
      <w:r>
        <w:rPr>
          <w:lang w:val="en-US"/>
        </w:rPr>
        <w:t>.</w:t>
      </w:r>
      <w:r>
        <w:rPr>
          <w:rFonts w:cs="Times New Roman"/>
          <w:lang w:val="en-US"/>
        </w:rPr>
        <w:t> </w:t>
      </w:r>
      <w:r>
        <w:rPr>
          <w:lang w:val="en-US"/>
        </w:rPr>
        <w:t>e., the English version of the abstract must not contain any statements that are not in the Lithuanian abstract.</w:t>
      </w:r>
    </w:p>
    <w:p w14:paraId="0349BFCD" w14:textId="77777777" w:rsidR="00792EF2" w:rsidRDefault="00792EF2">
      <w:pPr>
        <w:autoSpaceDN/>
        <w:spacing w:after="200" w:line="276" w:lineRule="auto"/>
        <w:ind w:firstLine="0"/>
        <w:contextualSpacing w:val="0"/>
        <w:jc w:val="left"/>
        <w:textAlignment w:val="auto"/>
        <w:rPr>
          <w:lang w:val="en-US"/>
        </w:rPr>
      </w:pPr>
    </w:p>
    <w:p w14:paraId="3F4FBE8A" w14:textId="77777777" w:rsidR="00792EF2" w:rsidRDefault="00792EF2">
      <w:pPr>
        <w:autoSpaceDN/>
        <w:spacing w:after="200" w:line="276" w:lineRule="auto"/>
        <w:ind w:firstLine="0"/>
        <w:contextualSpacing w:val="0"/>
        <w:jc w:val="left"/>
        <w:textAlignment w:val="auto"/>
        <w:rPr>
          <w:lang w:val="en-US"/>
        </w:rPr>
      </w:pPr>
      <w:r>
        <w:rPr>
          <w:lang w:val="en-US"/>
        </w:rPr>
        <w:br w:type="page"/>
      </w:r>
    </w:p>
    <w:p w14:paraId="714D8E45" w14:textId="77777777" w:rsidR="00791894" w:rsidRDefault="00D16295" w:rsidP="00D16295">
      <w:pPr>
        <w:pStyle w:val="Heading1"/>
      </w:pPr>
      <w:bookmarkStart w:id="21" w:name="_Toc183621373"/>
      <w:r w:rsidRPr="00D16295">
        <w:lastRenderedPageBreak/>
        <w:t>Literatūros sąrašas</w:t>
      </w:r>
      <w:bookmarkEnd w:id="21"/>
    </w:p>
    <w:p w14:paraId="4757F19D" w14:textId="77777777" w:rsidR="007D5F5B" w:rsidRPr="007D5F5B" w:rsidRDefault="00D16295" w:rsidP="007D5F5B">
      <w:pPr>
        <w:pStyle w:val="Bibliography"/>
        <w:rPr>
          <w:rFonts w:cs="Times New Roman"/>
          <w:szCs w:val="24"/>
        </w:rPr>
      </w:pPr>
      <w:r>
        <w:fldChar w:fldCharType="begin"/>
      </w:r>
      <w:r>
        <w:instrText xml:space="preserve"> ADDIN ZOTERO_BIBL {"uncited":[],"omitted":[],"custom":[]} CSL_BIBLIOGRAPHY </w:instrText>
      </w:r>
      <w:r>
        <w:fldChar w:fldCharType="separate"/>
      </w:r>
      <w:r w:rsidR="007D5F5B" w:rsidRPr="007D5F5B">
        <w:rPr>
          <w:rFonts w:cs="Times New Roman"/>
          <w:szCs w:val="24"/>
        </w:rPr>
        <w:t xml:space="preserve">Alley, M. (1996). </w:t>
      </w:r>
      <w:r w:rsidR="007D5F5B" w:rsidRPr="007D5F5B">
        <w:rPr>
          <w:rFonts w:cs="Times New Roman"/>
          <w:i/>
          <w:iCs/>
          <w:szCs w:val="24"/>
        </w:rPr>
        <w:t>The craft of scientific writing</w:t>
      </w:r>
      <w:r w:rsidR="007D5F5B" w:rsidRPr="007D5F5B">
        <w:rPr>
          <w:rFonts w:cs="Times New Roman"/>
          <w:szCs w:val="24"/>
        </w:rPr>
        <w:t xml:space="preserve"> (3rd leid.). Springer.</w:t>
      </w:r>
    </w:p>
    <w:p w14:paraId="13DCFA51" w14:textId="77777777" w:rsidR="007D5F5B" w:rsidRPr="007D5F5B" w:rsidRDefault="007D5F5B" w:rsidP="007D5F5B">
      <w:pPr>
        <w:pStyle w:val="Bibliography"/>
        <w:rPr>
          <w:rFonts w:cs="Times New Roman"/>
          <w:szCs w:val="24"/>
        </w:rPr>
      </w:pPr>
      <w:r w:rsidRPr="007D5F5B">
        <w:rPr>
          <w:rFonts w:cs="Times New Roman"/>
          <w:szCs w:val="24"/>
        </w:rPr>
        <w:t xml:space="preserve">Buriak, J. M. (2014). The Art of Writing the Title of Your Paper. </w:t>
      </w:r>
      <w:r w:rsidRPr="007D5F5B">
        <w:rPr>
          <w:rFonts w:cs="Times New Roman"/>
          <w:i/>
          <w:iCs/>
          <w:szCs w:val="24"/>
        </w:rPr>
        <w:t>Chemistry of Materials</w:t>
      </w:r>
      <w:r w:rsidRPr="007D5F5B">
        <w:rPr>
          <w:rFonts w:cs="Times New Roman"/>
          <w:szCs w:val="24"/>
        </w:rPr>
        <w:t xml:space="preserve">, </w:t>
      </w:r>
      <w:r w:rsidRPr="007D5F5B">
        <w:rPr>
          <w:rFonts w:cs="Times New Roman"/>
          <w:i/>
          <w:iCs/>
          <w:szCs w:val="24"/>
        </w:rPr>
        <w:t>26</w:t>
      </w:r>
      <w:r w:rsidRPr="007D5F5B">
        <w:rPr>
          <w:rFonts w:cs="Times New Roman"/>
          <w:szCs w:val="24"/>
        </w:rPr>
        <w:t>(11), Article 11. https://doi.org/10.1021/cm5017917</w:t>
      </w:r>
    </w:p>
    <w:p w14:paraId="1F7BA695" w14:textId="77777777" w:rsidR="007D5F5B" w:rsidRPr="007D5F5B" w:rsidRDefault="007D5F5B" w:rsidP="007D5F5B">
      <w:pPr>
        <w:pStyle w:val="Bibliography"/>
        <w:rPr>
          <w:rFonts w:cs="Times New Roman"/>
          <w:szCs w:val="24"/>
        </w:rPr>
      </w:pPr>
      <w:r w:rsidRPr="007D5F5B">
        <w:rPr>
          <w:rFonts w:cs="Times New Roman"/>
          <w:szCs w:val="24"/>
        </w:rPr>
        <w:t xml:space="preserve">DeLeeuw, L. W., Monsen, R. C., Petrauskas, V., Gray, R. D., Baranauskiene, L., Matulis, D., Trent, J. O., &amp; Chaires, J. B. (2021). POT1 stability and binding measured by fluorescence thermal shift assays. </w:t>
      </w:r>
      <w:r w:rsidRPr="007D5F5B">
        <w:rPr>
          <w:rFonts w:cs="Times New Roman"/>
          <w:i/>
          <w:iCs/>
          <w:szCs w:val="24"/>
        </w:rPr>
        <w:t>PLoS One</w:t>
      </w:r>
      <w:r w:rsidRPr="007D5F5B">
        <w:rPr>
          <w:rFonts w:cs="Times New Roman"/>
          <w:szCs w:val="24"/>
        </w:rPr>
        <w:t xml:space="preserve">, </w:t>
      </w:r>
      <w:r w:rsidRPr="007D5F5B">
        <w:rPr>
          <w:rFonts w:cs="Times New Roman"/>
          <w:i/>
          <w:iCs/>
          <w:szCs w:val="24"/>
        </w:rPr>
        <w:t>16</w:t>
      </w:r>
      <w:r w:rsidRPr="007D5F5B">
        <w:rPr>
          <w:rFonts w:cs="Times New Roman"/>
          <w:szCs w:val="24"/>
        </w:rPr>
        <w:t>(3), Article 3. https://doi.org/10.1371/journal.pone.0245675</w:t>
      </w:r>
    </w:p>
    <w:p w14:paraId="65B25B99" w14:textId="77777777" w:rsidR="007D5F5B" w:rsidRPr="007D5F5B" w:rsidRDefault="007D5F5B" w:rsidP="007D5F5B">
      <w:pPr>
        <w:pStyle w:val="Bibliography"/>
        <w:rPr>
          <w:rFonts w:cs="Times New Roman"/>
          <w:szCs w:val="24"/>
        </w:rPr>
      </w:pPr>
      <w:r w:rsidRPr="007D5F5B">
        <w:rPr>
          <w:rFonts w:cs="Times New Roman"/>
          <w:szCs w:val="24"/>
        </w:rPr>
        <w:t xml:space="preserve">Lingė, D., Gedgaudas, M., Merkys, A., Petrauskas, V., Vaitkus, A., Grybauskas, A., Paketurytė, V., Zubrienė, A., Zakšauskas, A., Mickevičiūtė, A., Smirnovienė, J., Baranauskienė, L., Čapkauskaitė, E., Dudutienė, V., Urniežius, E., Konovalovas, A., Kazlauskas, E., Shubin, K., Schiöth, H. B., … Matulis, D. (2023). PLBD: Protein–ligand binding database of thermodynamic and kinetic intrinsic parameters. </w:t>
      </w:r>
      <w:r w:rsidRPr="007D5F5B">
        <w:rPr>
          <w:rFonts w:cs="Times New Roman"/>
          <w:i/>
          <w:iCs/>
          <w:szCs w:val="24"/>
        </w:rPr>
        <w:t>Database</w:t>
      </w:r>
      <w:r w:rsidRPr="007D5F5B">
        <w:rPr>
          <w:rFonts w:cs="Times New Roman"/>
          <w:szCs w:val="24"/>
        </w:rPr>
        <w:t xml:space="preserve">, </w:t>
      </w:r>
      <w:r w:rsidRPr="007D5F5B">
        <w:rPr>
          <w:rFonts w:cs="Times New Roman"/>
          <w:i/>
          <w:iCs/>
          <w:szCs w:val="24"/>
        </w:rPr>
        <w:t>2023</w:t>
      </w:r>
      <w:r w:rsidRPr="007D5F5B">
        <w:rPr>
          <w:rFonts w:cs="Times New Roman"/>
          <w:szCs w:val="24"/>
        </w:rPr>
        <w:t>, baad040. https://doi.org/10.1093/database/baad040</w:t>
      </w:r>
    </w:p>
    <w:p w14:paraId="0670E2A3" w14:textId="77777777" w:rsidR="007D5F5B" w:rsidRPr="007D5F5B" w:rsidRDefault="007D5F5B" w:rsidP="007D5F5B">
      <w:pPr>
        <w:pStyle w:val="Bibliography"/>
        <w:rPr>
          <w:rFonts w:cs="Times New Roman"/>
          <w:szCs w:val="24"/>
        </w:rPr>
      </w:pPr>
      <w:r w:rsidRPr="007D5F5B">
        <w:rPr>
          <w:rFonts w:cs="Times New Roman"/>
          <w:szCs w:val="24"/>
        </w:rPr>
        <w:t xml:space="preserve">Linkuvienė, V., Zubrienė, A., Manakova, E., Petrauskas, V., Baranauskienė, L., Zakšauskas, A., Smirnov, A., Gražulis, S., Ladbury, J. E., &amp; Matulis, D. (2018). Thermodynamic, kinetic, and structural parameterization of human carbonic anhydrase interactions toward enhanced inhibitor design. </w:t>
      </w:r>
      <w:r w:rsidRPr="007D5F5B">
        <w:rPr>
          <w:rFonts w:cs="Times New Roman"/>
          <w:i/>
          <w:iCs/>
          <w:szCs w:val="24"/>
        </w:rPr>
        <w:t>Quarterly Reviews of Biophysics</w:t>
      </w:r>
      <w:r w:rsidRPr="007D5F5B">
        <w:rPr>
          <w:rFonts w:cs="Times New Roman"/>
          <w:szCs w:val="24"/>
        </w:rPr>
        <w:t xml:space="preserve">, </w:t>
      </w:r>
      <w:r w:rsidRPr="007D5F5B">
        <w:rPr>
          <w:rFonts w:cs="Times New Roman"/>
          <w:i/>
          <w:iCs/>
          <w:szCs w:val="24"/>
        </w:rPr>
        <w:t>51</w:t>
      </w:r>
      <w:r w:rsidRPr="007D5F5B">
        <w:rPr>
          <w:rFonts w:cs="Times New Roman"/>
          <w:szCs w:val="24"/>
        </w:rPr>
        <w:t>, 1–48. https://doi.org/10.1017/S0033583518000082</w:t>
      </w:r>
    </w:p>
    <w:p w14:paraId="33B349D4" w14:textId="77777777" w:rsidR="007D5F5B" w:rsidRPr="007D5F5B" w:rsidRDefault="007D5F5B" w:rsidP="007D5F5B">
      <w:pPr>
        <w:pStyle w:val="Bibliography"/>
        <w:rPr>
          <w:rFonts w:cs="Times New Roman"/>
          <w:szCs w:val="24"/>
        </w:rPr>
      </w:pPr>
      <w:r w:rsidRPr="007D5F5B">
        <w:rPr>
          <w:rFonts w:cs="Times New Roman"/>
          <w:szCs w:val="24"/>
        </w:rPr>
        <w:t xml:space="preserve">Matulienė, J., Žvinys, G., Petrauskas, V., Kvietkauskaitė, A., Zakšauskas, A., Shubin, K., Zubrienė, A., Baranauskienė, L., Kačenauskaitė, L., Kopanchuk, S., Veiksina, S., Paketurytė-Latvė, V., Smirnovienė, J., Juozapaitienė, V., Mickevičiūtė, A., Michailovienė, V., Jachno, J., Stravinskienė, D., Sližienė, A., … Matulis, D. (2022). Picomolar fluorescent probes for compound affinity determination to carbonic anhydrase IX expressed in live cancer cells. </w:t>
      </w:r>
      <w:r w:rsidRPr="007D5F5B">
        <w:rPr>
          <w:rFonts w:cs="Times New Roman"/>
          <w:i/>
          <w:iCs/>
          <w:szCs w:val="24"/>
        </w:rPr>
        <w:t>Scientific Reports</w:t>
      </w:r>
      <w:r w:rsidRPr="007D5F5B">
        <w:rPr>
          <w:rFonts w:cs="Times New Roman"/>
          <w:szCs w:val="24"/>
        </w:rPr>
        <w:t xml:space="preserve">, </w:t>
      </w:r>
      <w:r w:rsidRPr="007D5F5B">
        <w:rPr>
          <w:rFonts w:cs="Times New Roman"/>
          <w:i/>
          <w:iCs/>
          <w:szCs w:val="24"/>
        </w:rPr>
        <w:t>12</w:t>
      </w:r>
      <w:r w:rsidRPr="007D5F5B">
        <w:rPr>
          <w:rFonts w:cs="Times New Roman"/>
          <w:szCs w:val="24"/>
        </w:rPr>
        <w:t>(1), Article 1. https://doi.org/10.1038/s41598-022-22436-1</w:t>
      </w:r>
    </w:p>
    <w:p w14:paraId="00240FDA" w14:textId="77777777" w:rsidR="007D5F5B" w:rsidRPr="007D5F5B" w:rsidRDefault="007D5F5B" w:rsidP="007D5F5B">
      <w:pPr>
        <w:pStyle w:val="Bibliography"/>
        <w:rPr>
          <w:rFonts w:cs="Times New Roman"/>
          <w:szCs w:val="24"/>
        </w:rPr>
      </w:pPr>
      <w:r w:rsidRPr="007D5F5B">
        <w:rPr>
          <w:rFonts w:cs="Times New Roman"/>
          <w:szCs w:val="24"/>
        </w:rPr>
        <w:t xml:space="preserve">Mensh, B., &amp; Kording, K. (2017). Ten simple rules for structuring papers. </w:t>
      </w:r>
      <w:r w:rsidRPr="007D5F5B">
        <w:rPr>
          <w:rFonts w:cs="Times New Roman"/>
          <w:i/>
          <w:iCs/>
          <w:szCs w:val="24"/>
        </w:rPr>
        <w:t>PLOS Computational Biology</w:t>
      </w:r>
      <w:r w:rsidRPr="007D5F5B">
        <w:rPr>
          <w:rFonts w:cs="Times New Roman"/>
          <w:szCs w:val="24"/>
        </w:rPr>
        <w:t xml:space="preserve">, </w:t>
      </w:r>
      <w:r w:rsidRPr="007D5F5B">
        <w:rPr>
          <w:rFonts w:cs="Times New Roman"/>
          <w:i/>
          <w:iCs/>
          <w:szCs w:val="24"/>
        </w:rPr>
        <w:t>13</w:t>
      </w:r>
      <w:r w:rsidRPr="007D5F5B">
        <w:rPr>
          <w:rFonts w:cs="Times New Roman"/>
          <w:szCs w:val="24"/>
        </w:rPr>
        <w:t>(9), Article 9. https://doi.org/10.1371/journal.pcbi.1005619</w:t>
      </w:r>
    </w:p>
    <w:p w14:paraId="0280DCC4" w14:textId="77777777" w:rsidR="007D5F5B" w:rsidRPr="007D5F5B" w:rsidRDefault="007D5F5B" w:rsidP="007D5F5B">
      <w:pPr>
        <w:pStyle w:val="Bibliography"/>
        <w:rPr>
          <w:rFonts w:cs="Times New Roman"/>
          <w:szCs w:val="24"/>
        </w:rPr>
      </w:pPr>
      <w:r w:rsidRPr="007D5F5B">
        <w:rPr>
          <w:rFonts w:cs="Times New Roman"/>
          <w:szCs w:val="24"/>
        </w:rPr>
        <w:t xml:space="preserve">Petrauskas, V., Kazlauskas, E., Gedgaudas, M., Baranauskienė, L., Zubrienė, A., &amp; Matulis, D. (2024). Thermal shift assay for protein–ligand dissociation constant determination. </w:t>
      </w:r>
      <w:r w:rsidRPr="007D5F5B">
        <w:rPr>
          <w:rFonts w:cs="Times New Roman"/>
          <w:i/>
          <w:iCs/>
          <w:szCs w:val="24"/>
        </w:rPr>
        <w:t>TrAC Trends in Analytical Chemistry</w:t>
      </w:r>
      <w:r w:rsidRPr="007D5F5B">
        <w:rPr>
          <w:rFonts w:cs="Times New Roman"/>
          <w:szCs w:val="24"/>
        </w:rPr>
        <w:t xml:space="preserve">, </w:t>
      </w:r>
      <w:r w:rsidRPr="007D5F5B">
        <w:rPr>
          <w:rFonts w:cs="Times New Roman"/>
          <w:i/>
          <w:iCs/>
          <w:szCs w:val="24"/>
        </w:rPr>
        <w:t>170</w:t>
      </w:r>
      <w:r w:rsidRPr="007D5F5B">
        <w:rPr>
          <w:rFonts w:cs="Times New Roman"/>
          <w:szCs w:val="24"/>
        </w:rPr>
        <w:t>, 117417. https://doi.org/10.1016/j.trac.2023.117417</w:t>
      </w:r>
    </w:p>
    <w:p w14:paraId="24A1F205" w14:textId="77777777" w:rsidR="007D5F5B" w:rsidRPr="007D5F5B" w:rsidRDefault="007D5F5B" w:rsidP="007D5F5B">
      <w:pPr>
        <w:pStyle w:val="Bibliography"/>
        <w:rPr>
          <w:rFonts w:cs="Times New Roman"/>
          <w:szCs w:val="24"/>
        </w:rPr>
      </w:pPr>
      <w:r w:rsidRPr="007D5F5B">
        <w:rPr>
          <w:rFonts w:cs="Times New Roman"/>
          <w:szCs w:val="24"/>
        </w:rPr>
        <w:t xml:space="preserve">Ping Alvin, L. (2014). The passive voice in scientific writing. The current norm in science journals. </w:t>
      </w:r>
      <w:r w:rsidRPr="007D5F5B">
        <w:rPr>
          <w:rFonts w:cs="Times New Roman"/>
          <w:i/>
          <w:iCs/>
          <w:szCs w:val="24"/>
        </w:rPr>
        <w:t>Journal of Science Communication</w:t>
      </w:r>
      <w:r w:rsidRPr="007D5F5B">
        <w:rPr>
          <w:rFonts w:cs="Times New Roman"/>
          <w:szCs w:val="24"/>
        </w:rPr>
        <w:t xml:space="preserve">, </w:t>
      </w:r>
      <w:r w:rsidRPr="007D5F5B">
        <w:rPr>
          <w:rFonts w:cs="Times New Roman"/>
          <w:i/>
          <w:iCs/>
          <w:szCs w:val="24"/>
        </w:rPr>
        <w:t>13</w:t>
      </w:r>
      <w:r w:rsidRPr="007D5F5B">
        <w:rPr>
          <w:rFonts w:cs="Times New Roman"/>
          <w:szCs w:val="24"/>
        </w:rPr>
        <w:t>(01), Article 01. https://doi.org/10.22323/2.13010203</w:t>
      </w:r>
    </w:p>
    <w:p w14:paraId="73CE6F1C" w14:textId="77777777" w:rsidR="007D5F5B" w:rsidRPr="007D5F5B" w:rsidRDefault="007D5F5B" w:rsidP="007D5F5B">
      <w:pPr>
        <w:pStyle w:val="Bibliography"/>
        <w:rPr>
          <w:rFonts w:cs="Times New Roman"/>
          <w:szCs w:val="24"/>
        </w:rPr>
      </w:pPr>
      <w:r w:rsidRPr="007D5F5B">
        <w:rPr>
          <w:rFonts w:cs="Times New Roman"/>
          <w:szCs w:val="24"/>
        </w:rPr>
        <w:t xml:space="preserve">Skrabalak, S. E. (2021). My manuscript was “rejected without review” from Chemistry of Materials: A lesson in burying the lede. </w:t>
      </w:r>
      <w:r w:rsidRPr="007D5F5B">
        <w:rPr>
          <w:rFonts w:cs="Times New Roman"/>
          <w:i/>
          <w:iCs/>
          <w:szCs w:val="24"/>
        </w:rPr>
        <w:t>Chemistry of Materials</w:t>
      </w:r>
      <w:r w:rsidRPr="007D5F5B">
        <w:rPr>
          <w:rFonts w:cs="Times New Roman"/>
          <w:szCs w:val="24"/>
        </w:rPr>
        <w:t xml:space="preserve">, </w:t>
      </w:r>
      <w:r w:rsidRPr="007D5F5B">
        <w:rPr>
          <w:rFonts w:cs="Times New Roman"/>
          <w:i/>
          <w:iCs/>
          <w:szCs w:val="24"/>
        </w:rPr>
        <w:t>33</w:t>
      </w:r>
      <w:r w:rsidRPr="007D5F5B">
        <w:rPr>
          <w:rFonts w:cs="Times New Roman"/>
          <w:szCs w:val="24"/>
        </w:rPr>
        <w:t>(21), Article 21. https://doi.org/10.1021/acs.chemmater.1c03512</w:t>
      </w:r>
    </w:p>
    <w:p w14:paraId="51898629" w14:textId="77777777" w:rsidR="007D5F5B" w:rsidRPr="007D5F5B" w:rsidRDefault="007D5F5B" w:rsidP="007D5F5B">
      <w:pPr>
        <w:pStyle w:val="Bibliography"/>
        <w:rPr>
          <w:rFonts w:cs="Times New Roman"/>
          <w:szCs w:val="24"/>
        </w:rPr>
      </w:pPr>
      <w:r w:rsidRPr="007D5F5B">
        <w:rPr>
          <w:rFonts w:cs="Times New Roman"/>
          <w:szCs w:val="24"/>
        </w:rPr>
        <w:t xml:space="preserve">Strunk, W., &amp; White, E. B. (1999). </w:t>
      </w:r>
      <w:r w:rsidRPr="007D5F5B">
        <w:rPr>
          <w:rFonts w:cs="Times New Roman"/>
          <w:i/>
          <w:iCs/>
          <w:szCs w:val="24"/>
        </w:rPr>
        <w:t>The Elements of Style</w:t>
      </w:r>
      <w:r w:rsidRPr="007D5F5B">
        <w:rPr>
          <w:rFonts w:cs="Times New Roman"/>
          <w:szCs w:val="24"/>
        </w:rPr>
        <w:t xml:space="preserve"> (4th leid.). Allyn and Bacon.</w:t>
      </w:r>
    </w:p>
    <w:p w14:paraId="23ECB43A" w14:textId="77777777" w:rsidR="007D5F5B" w:rsidRPr="007D5F5B" w:rsidRDefault="007D5F5B" w:rsidP="007D5F5B">
      <w:pPr>
        <w:pStyle w:val="Bibliography"/>
        <w:rPr>
          <w:rFonts w:cs="Times New Roman"/>
          <w:szCs w:val="24"/>
        </w:rPr>
      </w:pPr>
      <w:r w:rsidRPr="007D5F5B">
        <w:rPr>
          <w:rFonts w:cs="Times New Roman"/>
          <w:szCs w:val="24"/>
        </w:rPr>
        <w:t xml:space="preserve">Vladarskienė, R., &amp; Zemlevičiutė, P. (Sud.). (2022). </w:t>
      </w:r>
      <w:r w:rsidRPr="007D5F5B">
        <w:rPr>
          <w:rFonts w:cs="Times New Roman"/>
          <w:i/>
          <w:iCs/>
          <w:szCs w:val="24"/>
        </w:rPr>
        <w:t>Lietuvių kalbos rašyba: Taisyklės, komentarai, patarimai</w:t>
      </w:r>
      <w:r w:rsidRPr="007D5F5B">
        <w:rPr>
          <w:rFonts w:cs="Times New Roman"/>
          <w:szCs w:val="24"/>
        </w:rPr>
        <w:t>. Lietuvių kalbos institutas.</w:t>
      </w:r>
    </w:p>
    <w:p w14:paraId="4ACAED09" w14:textId="77777777" w:rsidR="007D5F5B" w:rsidRPr="007D5F5B" w:rsidRDefault="007D5F5B" w:rsidP="007D5F5B">
      <w:pPr>
        <w:pStyle w:val="Bibliography"/>
        <w:rPr>
          <w:rFonts w:cs="Times New Roman"/>
          <w:szCs w:val="24"/>
        </w:rPr>
      </w:pPr>
      <w:r w:rsidRPr="007D5F5B">
        <w:rPr>
          <w:rFonts w:cs="Times New Roman"/>
          <w:szCs w:val="24"/>
        </w:rPr>
        <w:t xml:space="preserve">Žilinskas, P. J. (2016). </w:t>
      </w:r>
      <w:r w:rsidRPr="007D5F5B">
        <w:rPr>
          <w:rFonts w:cs="Times New Roman"/>
          <w:i/>
          <w:iCs/>
          <w:szCs w:val="24"/>
        </w:rPr>
        <w:t>Rašto darbai. Ką būtina žinoti rengiant tiksliųjų mokslų rašto darbą. Mokomoji knyga</w:t>
      </w:r>
      <w:r w:rsidRPr="007D5F5B">
        <w:rPr>
          <w:rFonts w:cs="Times New Roman"/>
          <w:szCs w:val="24"/>
        </w:rPr>
        <w:t>. Vilniaus universiteto leidykla.</w:t>
      </w:r>
    </w:p>
    <w:p w14:paraId="65F4558C" w14:textId="77777777" w:rsidR="00D16295" w:rsidRDefault="00D16295" w:rsidP="00D22D59">
      <w:r>
        <w:fldChar w:fldCharType="end"/>
      </w:r>
    </w:p>
    <w:sectPr w:rsidR="00D16295" w:rsidSect="00BC7FF4">
      <w:headerReference w:type="default" r:id="rId12"/>
      <w:footerReference w:type="default" r:id="rId13"/>
      <w:footerReference w:type="first" r:id="rId14"/>
      <w:pgSz w:w="11907" w:h="16839" w:code="9"/>
      <w:pgMar w:top="1134" w:right="851" w:bottom="1134"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DE699" w14:textId="77777777" w:rsidR="00A8401F" w:rsidRDefault="00A8401F" w:rsidP="00D22D59">
      <w:r>
        <w:separator/>
      </w:r>
    </w:p>
  </w:endnote>
  <w:endnote w:type="continuationSeparator" w:id="0">
    <w:p w14:paraId="631986BF" w14:textId="77777777" w:rsidR="00A8401F" w:rsidRDefault="00A8401F" w:rsidP="00D22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Noto Serif CJK SC">
    <w:altName w:val="Times New Roman"/>
    <w:charset w:val="00"/>
    <w:family w:val="auto"/>
    <w:pitch w:val="variable"/>
  </w:font>
  <w:font w:name="Noto Sans Devanagari">
    <w:altName w:val="Arial"/>
    <w:charset w:val="00"/>
    <w:family w:val="swiss"/>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panose1 w:val="02020603050405020304"/>
    <w:charset w:val="00"/>
    <w:family w:val="roman"/>
    <w:pitch w:val="variable"/>
    <w:sig w:usb0="E0000AFF" w:usb1="500078FF" w:usb2="00000021" w:usb3="00000000" w:csb0="000001BF" w:csb1="00000000"/>
  </w:font>
  <w:font w:name="Liberation Sans">
    <w:altName w:val="Arial"/>
    <w:panose1 w:val="020B0604020202020204"/>
    <w:charset w:val="00"/>
    <w:family w:val="swiss"/>
    <w:pitch w:val="variable"/>
    <w:sig w:usb0="E0000AFF" w:usb1="500078FF" w:usb2="00000021" w:usb3="00000000" w:csb0="000001BF" w:csb1="00000000"/>
  </w:font>
  <w:font w:name="Georgia Pro">
    <w:altName w:val="Times New Roman"/>
    <w:charset w:val="00"/>
    <w:family w:val="roman"/>
    <w:pitch w:val="variable"/>
    <w:sig w:usb0="800002AF" w:usb1="00000003"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B8573" w14:textId="77777777" w:rsidR="00D22D59" w:rsidRPr="00E83C90" w:rsidRDefault="00D22D59" w:rsidP="004E52A9">
    <w:pPr>
      <w:pStyle w:val="Footer"/>
      <w:jc w:val="right"/>
      <w:rPr>
        <w:rFonts w:cstheme="majorHAnsi"/>
        <w:szCs w:val="22"/>
      </w:rPr>
    </w:pPr>
    <w:r w:rsidRPr="00E83C90">
      <w:rPr>
        <w:rFonts w:cstheme="majorHAnsi"/>
        <w:szCs w:val="22"/>
      </w:rPr>
      <w:fldChar w:fldCharType="begin"/>
    </w:r>
    <w:r w:rsidRPr="00E83C90">
      <w:rPr>
        <w:rFonts w:cstheme="majorHAnsi"/>
        <w:szCs w:val="22"/>
      </w:rPr>
      <w:instrText xml:space="preserve"> PAGE   \* MERGEFORMAT </w:instrText>
    </w:r>
    <w:r w:rsidRPr="00E83C90">
      <w:rPr>
        <w:rFonts w:cstheme="majorHAnsi"/>
        <w:szCs w:val="22"/>
      </w:rPr>
      <w:fldChar w:fldCharType="separate"/>
    </w:r>
    <w:r w:rsidR="002E13B1">
      <w:rPr>
        <w:rFonts w:cstheme="majorHAnsi"/>
        <w:noProof/>
        <w:szCs w:val="22"/>
      </w:rPr>
      <w:t>17</w:t>
    </w:r>
    <w:r w:rsidRPr="00E83C90">
      <w:rPr>
        <w:rFonts w:cstheme="majorHAnsi"/>
        <w:noProof/>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5E0E0" w14:textId="77777777" w:rsidR="00E624A5" w:rsidRPr="00E83C90" w:rsidRDefault="00E624A5" w:rsidP="00E624A5">
    <w:pPr>
      <w:pStyle w:val="Footer"/>
      <w:jc w:val="center"/>
      <w:rPr>
        <w:rFonts w:cstheme="majorHAnsi"/>
        <w:color w:val="000000" w:themeColor="text1"/>
        <w:sz w:val="24"/>
      </w:rPr>
    </w:pPr>
    <w:r w:rsidRPr="00E83C90">
      <w:rPr>
        <w:rFonts w:cstheme="majorHAnsi"/>
        <w:color w:val="000000" w:themeColor="text1"/>
        <w:sz w:val="24"/>
      </w:rPr>
      <w:t>Vilnius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FE829" w14:textId="77777777" w:rsidR="00A8401F" w:rsidRDefault="00A8401F" w:rsidP="00D22D59">
      <w:r>
        <w:separator/>
      </w:r>
    </w:p>
  </w:footnote>
  <w:footnote w:type="continuationSeparator" w:id="0">
    <w:p w14:paraId="09ECA606" w14:textId="77777777" w:rsidR="00A8401F" w:rsidRDefault="00A8401F" w:rsidP="00D22D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994C8" w14:textId="17D0283F" w:rsidR="00791894" w:rsidRPr="00766544" w:rsidRDefault="00567D65" w:rsidP="00D22D59">
    <w:pPr>
      <w:pStyle w:val="Header"/>
      <w:jc w:val="right"/>
      <w:rPr>
        <w:rFonts w:asciiTheme="majorHAnsi" w:hAnsiTheme="majorHAnsi" w:cstheme="majorHAnsi"/>
        <w:sz w:val="22"/>
        <w:szCs w:val="22"/>
      </w:rPr>
    </w:pPr>
    <w:r w:rsidRPr="00766544">
      <w:rPr>
        <w:rFonts w:asciiTheme="majorHAnsi" w:hAnsiTheme="majorHAnsi" w:cstheme="majorHAnsi"/>
        <w:noProof/>
        <w:sz w:val="22"/>
        <w:szCs w:val="22"/>
        <w:lang w:eastAsia="lt-LT" w:bidi="ar-SA"/>
      </w:rPr>
      <mc:AlternateContent>
        <mc:Choice Requires="wps">
          <w:drawing>
            <wp:anchor distT="0" distB="0" distL="114300" distR="114300" simplePos="0" relativeHeight="251658752" behindDoc="0" locked="0" layoutInCell="1" allowOverlap="1" wp14:anchorId="5FAB8094" wp14:editId="5170A1E7">
              <wp:simplePos x="0" y="0"/>
              <wp:positionH relativeFrom="column">
                <wp:posOffset>-52705</wp:posOffset>
              </wp:positionH>
              <wp:positionV relativeFrom="paragraph">
                <wp:posOffset>208906</wp:posOffset>
              </wp:positionV>
              <wp:extent cx="6238875" cy="0"/>
              <wp:effectExtent l="38100" t="38100" r="66675" b="95250"/>
              <wp:wrapNone/>
              <wp:docPr id="1" name="Straight Connector 1"/>
              <wp:cNvGraphicFramePr/>
              <a:graphic xmlns:a="http://schemas.openxmlformats.org/drawingml/2006/main">
                <a:graphicData uri="http://schemas.microsoft.com/office/word/2010/wordprocessingShape">
                  <wps:wsp>
                    <wps:cNvCnPr/>
                    <wps:spPr>
                      <a:xfrm>
                        <a:off x="0" y="0"/>
                        <a:ext cx="6238875" cy="0"/>
                      </a:xfrm>
                      <a:prstGeom prst="line">
                        <a:avLst/>
                      </a:prstGeom>
                      <a:ln w="6350">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1FA442" id="Straight Connector 1"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5pt,16.45pt" to="487.1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" strokecolor="black [3213]" strokeweight=".5pt">
              <v:shadow on="t" color="black" opacity="24903f" origin=",.5" offset="0,.55556mm"/>
            </v:line>
          </w:pict>
        </mc:Fallback>
      </mc:AlternateContent>
    </w:r>
    <w:r w:rsidR="00AB1710" w:rsidRPr="00766544">
      <w:rPr>
        <w:rFonts w:asciiTheme="majorHAnsi" w:hAnsiTheme="majorHAnsi" w:cstheme="majorHAnsi"/>
        <w:sz w:val="22"/>
        <w:szCs w:val="22"/>
      </w:rPr>
      <w:fldChar w:fldCharType="begin"/>
    </w:r>
    <w:r w:rsidR="00AB1710" w:rsidRPr="00766544">
      <w:rPr>
        <w:rFonts w:asciiTheme="majorHAnsi" w:hAnsiTheme="majorHAnsi" w:cstheme="majorHAnsi"/>
        <w:sz w:val="22"/>
        <w:szCs w:val="22"/>
      </w:rPr>
      <w:instrText xml:space="preserve"> STYLEREF  "Heading 1"  \* MERGEFORMAT </w:instrText>
    </w:r>
    <w:r w:rsidR="003B5310">
      <w:rPr>
        <w:rFonts w:asciiTheme="majorHAnsi" w:hAnsiTheme="majorHAnsi" w:cstheme="majorHAnsi"/>
        <w:sz w:val="22"/>
        <w:szCs w:val="22"/>
      </w:rPr>
      <w:fldChar w:fldCharType="separate"/>
    </w:r>
    <w:r w:rsidR="003B5310">
      <w:rPr>
        <w:rFonts w:asciiTheme="majorHAnsi" w:hAnsiTheme="majorHAnsi" w:cstheme="majorHAnsi"/>
        <w:noProof/>
        <w:sz w:val="22"/>
        <w:szCs w:val="22"/>
      </w:rPr>
      <w:t>Literatūros sąrašas</w:t>
    </w:r>
    <w:r w:rsidR="00AB1710" w:rsidRPr="00766544">
      <w:rPr>
        <w:rFonts w:asciiTheme="majorHAnsi" w:hAnsiTheme="majorHAnsi" w:cstheme="majorHAnsi"/>
        <w:sz w:val="22"/>
        <w:szCs w:val="22"/>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05D2CC6"/>
    <w:multiLevelType w:val="hybridMultilevel"/>
    <w:tmpl w:val="A6A6A22C"/>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0" w15:restartNumberingAfterBreak="0">
    <w:nsid w:val="0388209A"/>
    <w:multiLevelType w:val="multilevel"/>
    <w:tmpl w:val="CEC0182E"/>
    <w:styleLink w:val="Outline"/>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067443D9"/>
    <w:multiLevelType w:val="hybridMultilevel"/>
    <w:tmpl w:val="20E698D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2" w15:restartNumberingAfterBreak="0">
    <w:nsid w:val="079506FB"/>
    <w:multiLevelType w:val="hybridMultilevel"/>
    <w:tmpl w:val="FDEAA628"/>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3" w15:restartNumberingAfterBreak="0">
    <w:nsid w:val="09147EB6"/>
    <w:multiLevelType w:val="hybridMultilevel"/>
    <w:tmpl w:val="A56822E6"/>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4" w15:restartNumberingAfterBreak="0">
    <w:nsid w:val="11F80512"/>
    <w:multiLevelType w:val="hybridMultilevel"/>
    <w:tmpl w:val="7A188DC4"/>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5" w15:restartNumberingAfterBreak="0">
    <w:nsid w:val="17FD0B1D"/>
    <w:multiLevelType w:val="multilevel"/>
    <w:tmpl w:val="343A18F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6" w15:restartNumberingAfterBreak="0">
    <w:nsid w:val="456876C0"/>
    <w:multiLevelType w:val="multilevel"/>
    <w:tmpl w:val="A7447FC6"/>
    <w:lvl w:ilvl="0">
      <w:start w:val="1"/>
      <w:numFmt w:val="decimal"/>
      <w:lvlText w:val="%1."/>
      <w:lvlJc w:val="left"/>
      <w:pPr>
        <w:ind w:left="0" w:firstLine="0"/>
      </w:pPr>
      <w:rPr>
        <w:rFonts w:hint="default"/>
      </w:rPr>
    </w:lvl>
    <w:lvl w:ilvl="1">
      <w:start w:val="1"/>
      <w:numFmt w:val="decimal"/>
      <w:pStyle w:val="Heading2"/>
      <w:lvlText w:val="%1.%2."/>
      <w:lvlJc w:val="left"/>
      <w:pPr>
        <w:ind w:left="0" w:firstLine="0"/>
      </w:pPr>
      <w:rPr>
        <w:rFonts w:hint="default"/>
      </w:rPr>
    </w:lvl>
    <w:lvl w:ilvl="2">
      <w:start w:val="1"/>
      <w:numFmt w:val="decimal"/>
      <w:pStyle w:val="Heading3"/>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7" w15:restartNumberingAfterBreak="0">
    <w:nsid w:val="47CA41CB"/>
    <w:multiLevelType w:val="hybridMultilevel"/>
    <w:tmpl w:val="F6B65E7C"/>
    <w:lvl w:ilvl="0" w:tplc="10FC0EF4">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94945E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3560104"/>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14"/>
  </w:num>
  <w:num w:numId="11">
    <w:abstractNumId w:val="19"/>
  </w:num>
  <w:num w:numId="12">
    <w:abstractNumId w:val="18"/>
  </w:num>
  <w:num w:numId="13">
    <w:abstractNumId w:val="17"/>
  </w:num>
  <w:num w:numId="14">
    <w:abstractNumId w:val="16"/>
  </w:num>
  <w:num w:numId="15">
    <w:abstractNumId w:val="10"/>
  </w:num>
  <w:num w:numId="16">
    <w:abstractNumId w:val="15"/>
  </w:num>
  <w:num w:numId="17">
    <w:abstractNumId w:val="11"/>
  </w:num>
  <w:num w:numId="18">
    <w:abstractNumId w:val="13"/>
  </w:num>
  <w:num w:numId="19">
    <w:abstractNumId w:val="12"/>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567"/>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7730"/>
    <w:rsid w:val="00025FF3"/>
    <w:rsid w:val="00034616"/>
    <w:rsid w:val="00053361"/>
    <w:rsid w:val="0006063C"/>
    <w:rsid w:val="000D126D"/>
    <w:rsid w:val="00121B63"/>
    <w:rsid w:val="0015074B"/>
    <w:rsid w:val="0015238F"/>
    <w:rsid w:val="00157BD0"/>
    <w:rsid w:val="001A3BFD"/>
    <w:rsid w:val="001A46BF"/>
    <w:rsid w:val="001B7FDE"/>
    <w:rsid w:val="002356F4"/>
    <w:rsid w:val="002730E6"/>
    <w:rsid w:val="002734FC"/>
    <w:rsid w:val="00276AEE"/>
    <w:rsid w:val="0029639D"/>
    <w:rsid w:val="002C519B"/>
    <w:rsid w:val="002D1459"/>
    <w:rsid w:val="002E13B1"/>
    <w:rsid w:val="00326F90"/>
    <w:rsid w:val="00347B96"/>
    <w:rsid w:val="00397166"/>
    <w:rsid w:val="003B5310"/>
    <w:rsid w:val="003E3C6C"/>
    <w:rsid w:val="00420317"/>
    <w:rsid w:val="00464CA0"/>
    <w:rsid w:val="004D277A"/>
    <w:rsid w:val="004D4554"/>
    <w:rsid w:val="004E52A9"/>
    <w:rsid w:val="004F3FF7"/>
    <w:rsid w:val="0050010E"/>
    <w:rsid w:val="00567D65"/>
    <w:rsid w:val="005B1AC2"/>
    <w:rsid w:val="00687117"/>
    <w:rsid w:val="00766544"/>
    <w:rsid w:val="007675D9"/>
    <w:rsid w:val="00773C22"/>
    <w:rsid w:val="00776AEF"/>
    <w:rsid w:val="00791894"/>
    <w:rsid w:val="00792EF2"/>
    <w:rsid w:val="007B32F2"/>
    <w:rsid w:val="007D5F5B"/>
    <w:rsid w:val="007F48D2"/>
    <w:rsid w:val="0080001F"/>
    <w:rsid w:val="00812ABA"/>
    <w:rsid w:val="0083370C"/>
    <w:rsid w:val="00882B18"/>
    <w:rsid w:val="008D7242"/>
    <w:rsid w:val="009D3A15"/>
    <w:rsid w:val="00A55622"/>
    <w:rsid w:val="00A8401F"/>
    <w:rsid w:val="00AA1D8D"/>
    <w:rsid w:val="00AB1710"/>
    <w:rsid w:val="00B47730"/>
    <w:rsid w:val="00B80B01"/>
    <w:rsid w:val="00BB2547"/>
    <w:rsid w:val="00BB2F9E"/>
    <w:rsid w:val="00BC7FF4"/>
    <w:rsid w:val="00BE335C"/>
    <w:rsid w:val="00C006FC"/>
    <w:rsid w:val="00C743F6"/>
    <w:rsid w:val="00C95B8C"/>
    <w:rsid w:val="00CB0664"/>
    <w:rsid w:val="00CF1B58"/>
    <w:rsid w:val="00D16295"/>
    <w:rsid w:val="00D22D59"/>
    <w:rsid w:val="00D53064"/>
    <w:rsid w:val="00DD7639"/>
    <w:rsid w:val="00E405A8"/>
    <w:rsid w:val="00E5586F"/>
    <w:rsid w:val="00E624A5"/>
    <w:rsid w:val="00E83C90"/>
    <w:rsid w:val="00E933E1"/>
    <w:rsid w:val="00EA1B07"/>
    <w:rsid w:val="00EF7E45"/>
    <w:rsid w:val="00F926C9"/>
    <w:rsid w:val="00F95B12"/>
    <w:rsid w:val="00FB205C"/>
    <w:rsid w:val="00FC693F"/>
    <w:rsid w:val="00FF69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0AF0FAA"/>
  <w15:docId w15:val="{0B9AF581-4620-41EE-A6A1-CEA9FBBE2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2D59"/>
    <w:pPr>
      <w:autoSpaceDN w:val="0"/>
      <w:spacing w:after="0" w:line="360" w:lineRule="auto"/>
      <w:ind w:firstLine="567"/>
      <w:contextualSpacing/>
      <w:jc w:val="both"/>
      <w:textAlignment w:val="baseline"/>
    </w:pPr>
    <w:rPr>
      <w:rFonts w:ascii="Times New Roman" w:eastAsia="Noto Serif CJK SC" w:hAnsi="Times New Roman" w:cs="Noto Sans Devanagari"/>
      <w:kern w:val="3"/>
      <w:sz w:val="24"/>
      <w:szCs w:val="24"/>
      <w:lang w:val="lt-LT" w:eastAsia="zh-CN" w:bidi="hi-IN"/>
    </w:rPr>
  </w:style>
  <w:style w:type="paragraph" w:styleId="Heading1">
    <w:name w:val="heading 1"/>
    <w:basedOn w:val="Normal"/>
    <w:next w:val="Normal"/>
    <w:link w:val="Heading1Char"/>
    <w:qFormat/>
    <w:rsid w:val="00F95B12"/>
    <w:pPr>
      <w:keepNext/>
      <w:keepLines/>
      <w:spacing w:before="240" w:after="240" w:line="240" w:lineRule="auto"/>
      <w:ind w:firstLine="0"/>
      <w:outlineLvl w:val="0"/>
    </w:pPr>
    <w:rPr>
      <w:rFonts w:asciiTheme="majorHAnsi" w:eastAsiaTheme="majorEastAsia" w:hAnsiTheme="majorHAnsi" w:cstheme="majorBidi"/>
      <w:b/>
      <w:bCs/>
      <w:sz w:val="36"/>
      <w:szCs w:val="28"/>
    </w:rPr>
  </w:style>
  <w:style w:type="paragraph" w:styleId="Heading2">
    <w:name w:val="heading 2"/>
    <w:basedOn w:val="Normal"/>
    <w:next w:val="Normal"/>
    <w:link w:val="Heading2Char"/>
    <w:unhideWhenUsed/>
    <w:qFormat/>
    <w:rsid w:val="007675D9"/>
    <w:pPr>
      <w:keepNext/>
      <w:keepLines/>
      <w:numPr>
        <w:ilvl w:val="1"/>
        <w:numId w:val="14"/>
      </w:numPr>
      <w:spacing w:before="200"/>
      <w:outlineLvl w:val="1"/>
    </w:pPr>
    <w:rPr>
      <w:rFonts w:asciiTheme="majorHAnsi" w:eastAsiaTheme="majorEastAsia" w:hAnsiTheme="majorHAnsi" w:cstheme="majorBidi"/>
      <w:b/>
      <w:bCs/>
      <w:sz w:val="30"/>
      <w:szCs w:val="26"/>
    </w:rPr>
  </w:style>
  <w:style w:type="paragraph" w:styleId="Heading3">
    <w:name w:val="heading 3"/>
    <w:basedOn w:val="Normal"/>
    <w:next w:val="Normal"/>
    <w:link w:val="Heading3Char"/>
    <w:unhideWhenUsed/>
    <w:qFormat/>
    <w:rsid w:val="00FF6931"/>
    <w:pPr>
      <w:keepNext/>
      <w:keepLines/>
      <w:numPr>
        <w:ilvl w:val="2"/>
        <w:numId w:val="14"/>
      </w:numPr>
      <w:spacing w:before="200"/>
      <w:outlineLvl w:val="2"/>
    </w:pPr>
    <w:rPr>
      <w:rFonts w:asciiTheme="majorHAnsi" w:eastAsiaTheme="majorEastAsia" w:hAnsiTheme="majorHAnsi" w:cstheme="majorBidi"/>
      <w:b/>
      <w:bCs/>
      <w:sz w:val="26"/>
    </w:rPr>
  </w:style>
  <w:style w:type="paragraph" w:styleId="Heading4">
    <w:name w:val="heading 4"/>
    <w:basedOn w:val="Normal"/>
    <w:next w:val="Normal"/>
    <w:link w:val="Heading4Char"/>
    <w:uiPriority w:val="9"/>
    <w:semiHidden/>
    <w:unhideWhenUsed/>
    <w:qFormat/>
    <w:rsid w:val="00766544"/>
    <w:pPr>
      <w:keepNext/>
      <w:keepLines/>
      <w:spacing w:before="200"/>
      <w:ind w:firstLine="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semiHidden/>
    <w:unhideWhenUsed/>
    <w:qFormat/>
    <w:rsid w:val="00FC693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4E52A9"/>
    <w:pPr>
      <w:tabs>
        <w:tab w:val="center" w:pos="4680"/>
        <w:tab w:val="right" w:pos="9360"/>
      </w:tabs>
      <w:spacing w:beforeAutospacing="1" w:line="240" w:lineRule="auto"/>
    </w:pPr>
    <w:rPr>
      <w:rFonts w:asciiTheme="majorHAnsi" w:hAnsiTheme="majorHAnsi"/>
      <w:sz w:val="22"/>
    </w:rPr>
  </w:style>
  <w:style w:type="character" w:customStyle="1" w:styleId="FooterChar">
    <w:name w:val="Footer Char"/>
    <w:basedOn w:val="DefaultParagraphFont"/>
    <w:link w:val="Footer"/>
    <w:uiPriority w:val="99"/>
    <w:rsid w:val="004E52A9"/>
    <w:rPr>
      <w:rFonts w:asciiTheme="majorHAnsi" w:eastAsia="Noto Serif CJK SC" w:hAnsiTheme="majorHAnsi" w:cs="Noto Sans Devanagari"/>
      <w:kern w:val="3"/>
      <w:szCs w:val="24"/>
      <w:lang w:val="lt-LT" w:eastAsia="zh-CN" w:bidi="hi-IN"/>
    </w:rPr>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95B12"/>
    <w:rPr>
      <w:rFonts w:asciiTheme="majorHAnsi" w:eastAsiaTheme="majorEastAsia" w:hAnsiTheme="majorHAnsi" w:cstheme="majorBidi"/>
      <w:b/>
      <w:bCs/>
      <w:kern w:val="3"/>
      <w:sz w:val="36"/>
      <w:szCs w:val="28"/>
      <w:lang w:val="lt-LT" w:eastAsia="zh-CN" w:bidi="hi-IN"/>
    </w:rPr>
  </w:style>
  <w:style w:type="character" w:customStyle="1" w:styleId="Heading2Char">
    <w:name w:val="Heading 2 Char"/>
    <w:basedOn w:val="DefaultParagraphFont"/>
    <w:link w:val="Heading2"/>
    <w:uiPriority w:val="9"/>
    <w:rsid w:val="007675D9"/>
    <w:rPr>
      <w:rFonts w:asciiTheme="majorHAnsi" w:eastAsiaTheme="majorEastAsia" w:hAnsiTheme="majorHAnsi" w:cstheme="majorBidi"/>
      <w:b/>
      <w:bCs/>
      <w:kern w:val="3"/>
      <w:sz w:val="30"/>
      <w:szCs w:val="26"/>
      <w:lang w:val="lt-LT" w:eastAsia="zh-CN" w:bidi="hi-IN"/>
    </w:rPr>
  </w:style>
  <w:style w:type="character" w:customStyle="1" w:styleId="Heading3Char">
    <w:name w:val="Heading 3 Char"/>
    <w:basedOn w:val="DefaultParagraphFont"/>
    <w:link w:val="Heading3"/>
    <w:uiPriority w:val="9"/>
    <w:rsid w:val="00FF6931"/>
    <w:rPr>
      <w:rFonts w:asciiTheme="majorHAnsi" w:eastAsiaTheme="majorEastAsia" w:hAnsiTheme="majorHAnsi" w:cstheme="majorBidi"/>
      <w:b/>
      <w:bCs/>
      <w:kern w:val="3"/>
      <w:sz w:val="26"/>
      <w:szCs w:val="24"/>
      <w:lang w:val="lt-LT" w:eastAsia="zh-CN" w:bidi="hi-IN"/>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ind w:firstLine="567"/>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numbering" w:customStyle="1" w:styleId="Outline">
    <w:name w:val="Outline"/>
    <w:basedOn w:val="NoList"/>
    <w:rsid w:val="004D277A"/>
    <w:pPr>
      <w:numPr>
        <w:numId w:val="15"/>
      </w:numPr>
    </w:pPr>
  </w:style>
  <w:style w:type="paragraph" w:styleId="TOC3">
    <w:name w:val="toc 3"/>
    <w:basedOn w:val="Normal"/>
    <w:next w:val="Normal"/>
    <w:uiPriority w:val="39"/>
    <w:unhideWhenUsed/>
    <w:rsid w:val="00FF6931"/>
    <w:pPr>
      <w:tabs>
        <w:tab w:val="left" w:pos="1276"/>
        <w:tab w:val="right" w:leader="dot" w:pos="9961"/>
      </w:tabs>
      <w:spacing w:line="240" w:lineRule="auto"/>
      <w:ind w:left="567" w:firstLine="0"/>
    </w:pPr>
    <w:rPr>
      <w:rFonts w:asciiTheme="minorHAnsi" w:eastAsiaTheme="minorEastAsia" w:hAnsiTheme="minorHAnsi" w:cstheme="minorBidi"/>
      <w:noProof/>
      <w:kern w:val="0"/>
      <w:lang w:eastAsia="lt-LT"/>
    </w:rPr>
  </w:style>
  <w:style w:type="paragraph" w:customStyle="1" w:styleId="TableContents">
    <w:name w:val="Table Contents"/>
    <w:basedOn w:val="Normal"/>
    <w:rsid w:val="004D277A"/>
    <w:pPr>
      <w:widowControl w:val="0"/>
      <w:suppressLineNumbers/>
      <w:spacing w:line="240" w:lineRule="auto"/>
    </w:pPr>
  </w:style>
  <w:style w:type="paragraph" w:customStyle="1" w:styleId="Standard">
    <w:name w:val="Standard"/>
    <w:basedOn w:val="Normal"/>
    <w:rsid w:val="005B1AC2"/>
  </w:style>
  <w:style w:type="paragraph" w:styleId="List">
    <w:name w:val="List"/>
    <w:basedOn w:val="Normal"/>
    <w:uiPriority w:val="99"/>
    <w:unhideWhenUsed/>
    <w:rsid w:val="00AA1D8D"/>
    <w:pPr>
      <w:ind w:left="360" w:hanging="360"/>
    </w:pPr>
  </w:style>
  <w:style w:type="paragraph" w:styleId="List2">
    <w:name w:val="List 2"/>
    <w:basedOn w:val="Normal"/>
    <w:uiPriority w:val="99"/>
    <w:unhideWhenUsed/>
    <w:rsid w:val="00326F90"/>
    <w:pPr>
      <w:ind w:left="720" w:hanging="360"/>
    </w:pPr>
  </w:style>
  <w:style w:type="paragraph" w:styleId="List3">
    <w:name w:val="List 3"/>
    <w:basedOn w:val="Normal"/>
    <w:uiPriority w:val="99"/>
    <w:unhideWhenUsed/>
    <w:rsid w:val="00326F90"/>
    <w:pPr>
      <w:ind w:left="1080" w:hanging="360"/>
    </w:pPr>
  </w:style>
  <w:style w:type="paragraph" w:styleId="ListBullet">
    <w:name w:val="List Bullet"/>
    <w:basedOn w:val="Normal"/>
    <w:uiPriority w:val="99"/>
    <w:unhideWhenUsed/>
    <w:rsid w:val="00326F90"/>
    <w:pPr>
      <w:numPr>
        <w:numId w:val="1"/>
      </w:numPr>
    </w:pPr>
  </w:style>
  <w:style w:type="paragraph" w:styleId="ListBullet2">
    <w:name w:val="List Bullet 2"/>
    <w:basedOn w:val="Normal"/>
    <w:uiPriority w:val="99"/>
    <w:unhideWhenUsed/>
    <w:rsid w:val="00326F90"/>
    <w:pPr>
      <w:numPr>
        <w:numId w:val="2"/>
      </w:numPr>
    </w:pPr>
  </w:style>
  <w:style w:type="paragraph" w:styleId="ListBullet3">
    <w:name w:val="List Bullet 3"/>
    <w:basedOn w:val="Normal"/>
    <w:uiPriority w:val="99"/>
    <w:unhideWhenUsed/>
    <w:rsid w:val="00326F90"/>
    <w:pPr>
      <w:numPr>
        <w:numId w:val="3"/>
      </w:numPr>
    </w:pPr>
  </w:style>
  <w:style w:type="paragraph" w:styleId="ListNumber">
    <w:name w:val="List Number"/>
    <w:basedOn w:val="Normal"/>
    <w:uiPriority w:val="99"/>
    <w:unhideWhenUsed/>
    <w:rsid w:val="00326F90"/>
    <w:pPr>
      <w:numPr>
        <w:numId w:val="5"/>
      </w:numPr>
    </w:pPr>
  </w:style>
  <w:style w:type="paragraph" w:styleId="ListNumber2">
    <w:name w:val="List Number 2"/>
    <w:basedOn w:val="Normal"/>
    <w:uiPriority w:val="99"/>
    <w:unhideWhenUsed/>
    <w:rsid w:val="0029639D"/>
    <w:pPr>
      <w:numPr>
        <w:numId w:val="6"/>
      </w:numPr>
    </w:pPr>
  </w:style>
  <w:style w:type="paragraph" w:styleId="ListNumber3">
    <w:name w:val="List Number 3"/>
    <w:basedOn w:val="Normal"/>
    <w:uiPriority w:val="99"/>
    <w:unhideWhenUsed/>
    <w:rsid w:val="0029639D"/>
    <w:pPr>
      <w:numPr>
        <w:numId w:val="7"/>
      </w:numPr>
    </w:pPr>
  </w:style>
  <w:style w:type="paragraph" w:styleId="ListContinue">
    <w:name w:val="List Continue"/>
    <w:basedOn w:val="Normal"/>
    <w:uiPriority w:val="99"/>
    <w:unhideWhenUsed/>
    <w:rsid w:val="0029639D"/>
    <w:pPr>
      <w:spacing w:after="120"/>
      <w:ind w:left="360"/>
    </w:pPr>
  </w:style>
  <w:style w:type="paragraph" w:styleId="ListContinue2">
    <w:name w:val="List Continue 2"/>
    <w:basedOn w:val="Normal"/>
    <w:uiPriority w:val="99"/>
    <w:unhideWhenUsed/>
    <w:rsid w:val="0029639D"/>
    <w:pPr>
      <w:spacing w:after="120"/>
      <w:ind w:left="720"/>
    </w:pPr>
  </w:style>
  <w:style w:type="paragraph" w:styleId="ListContinue3">
    <w:name w:val="List Continue 3"/>
    <w:basedOn w:val="Normal"/>
    <w:uiPriority w:val="99"/>
    <w:unhideWhenUsed/>
    <w:rsid w:val="0029639D"/>
    <w:pPr>
      <w:spacing w:after="120"/>
      <w:ind w:left="1080"/>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766544"/>
    <w:rPr>
      <w:rFonts w:asciiTheme="majorHAnsi" w:eastAsiaTheme="majorEastAsia" w:hAnsiTheme="majorHAnsi" w:cstheme="majorBidi"/>
      <w:b/>
      <w:bCs/>
      <w:iCs/>
      <w:kern w:val="3"/>
      <w:sz w:val="24"/>
      <w:szCs w:val="24"/>
      <w:lang w:val="lt-LT" w:eastAsia="zh-CN" w:bidi="hi-IN"/>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qFormat/>
    <w:rsid w:val="00397166"/>
    <w:pPr>
      <w:keepNext/>
      <w:spacing w:line="240" w:lineRule="auto"/>
      <w:ind w:left="709" w:hanging="709"/>
    </w:pPr>
    <w:rPr>
      <w:bCs/>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unhideWhenUsed/>
    <w:qFormat/>
    <w:rsid w:val="00D22D59"/>
    <w:pPr>
      <w:spacing w:before="0"/>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TOC1">
    <w:name w:val="toc 1"/>
    <w:basedOn w:val="Normal"/>
    <w:next w:val="Normal"/>
    <w:uiPriority w:val="39"/>
    <w:unhideWhenUsed/>
    <w:rsid w:val="004D4554"/>
    <w:pPr>
      <w:tabs>
        <w:tab w:val="left" w:pos="284"/>
        <w:tab w:val="right" w:pos="9961"/>
      </w:tabs>
      <w:spacing w:before="240" w:line="240" w:lineRule="auto"/>
      <w:ind w:firstLine="0"/>
      <w:contextualSpacing w:val="0"/>
    </w:pPr>
    <w:rPr>
      <w:rFonts w:asciiTheme="minorHAnsi" w:eastAsiaTheme="minorEastAsia" w:hAnsiTheme="minorHAnsi" w:cstheme="minorBidi"/>
      <w:b/>
      <w:noProof/>
      <w:kern w:val="0"/>
      <w:szCs w:val="22"/>
      <w:lang w:eastAsia="lt-LT" w:bidi="ar-SA"/>
    </w:rPr>
  </w:style>
  <w:style w:type="character" w:styleId="Hyperlink">
    <w:name w:val="Hyperlink"/>
    <w:basedOn w:val="DefaultParagraphFont"/>
    <w:uiPriority w:val="99"/>
    <w:unhideWhenUsed/>
    <w:rsid w:val="00AB1710"/>
    <w:rPr>
      <w:color w:val="0000FF" w:themeColor="hyperlink"/>
      <w:u w:val="single"/>
    </w:rPr>
  </w:style>
  <w:style w:type="paragraph" w:styleId="TOC2">
    <w:name w:val="toc 2"/>
    <w:basedOn w:val="Normal"/>
    <w:next w:val="Normal"/>
    <w:uiPriority w:val="39"/>
    <w:unhideWhenUsed/>
    <w:rsid w:val="004D4554"/>
    <w:pPr>
      <w:tabs>
        <w:tab w:val="left" w:pos="851"/>
        <w:tab w:val="right" w:leader="dot" w:pos="9961"/>
      </w:tabs>
      <w:spacing w:line="240" w:lineRule="auto"/>
      <w:ind w:left="284" w:firstLine="0"/>
    </w:pPr>
    <w:rPr>
      <w:rFonts w:asciiTheme="minorHAnsi" w:eastAsiaTheme="minorEastAsia" w:hAnsiTheme="minorHAnsi" w:cstheme="minorBidi"/>
      <w:noProof/>
      <w:kern w:val="0"/>
      <w:szCs w:val="22"/>
      <w:lang w:eastAsia="lt-LT" w:bidi="ar-SA"/>
    </w:rPr>
  </w:style>
  <w:style w:type="paragraph" w:customStyle="1" w:styleId="Figure">
    <w:name w:val="Figure"/>
    <w:basedOn w:val="Normal"/>
    <w:rsid w:val="00CF1B58"/>
    <w:pPr>
      <w:suppressLineNumbers/>
      <w:spacing w:before="119" w:after="119" w:line="276" w:lineRule="auto"/>
    </w:pPr>
    <w:rPr>
      <w:iCs/>
    </w:rPr>
  </w:style>
  <w:style w:type="paragraph" w:styleId="NormalWeb">
    <w:name w:val="Normal (Web)"/>
    <w:basedOn w:val="Normal"/>
    <w:uiPriority w:val="99"/>
    <w:semiHidden/>
    <w:unhideWhenUsed/>
    <w:rsid w:val="001A3BFD"/>
    <w:pPr>
      <w:autoSpaceDN/>
      <w:spacing w:before="100" w:beforeAutospacing="1" w:after="100" w:afterAutospacing="1" w:line="240" w:lineRule="auto"/>
      <w:ind w:firstLine="0"/>
      <w:contextualSpacing w:val="0"/>
      <w:jc w:val="left"/>
      <w:textAlignment w:val="auto"/>
    </w:pPr>
    <w:rPr>
      <w:rFonts w:eastAsiaTheme="minorEastAsia" w:cs="Times New Roman"/>
      <w:kern w:val="0"/>
      <w:lang w:eastAsia="lt-LT" w:bidi="ar-SA"/>
    </w:rPr>
  </w:style>
  <w:style w:type="paragraph" w:customStyle="1" w:styleId="Paveikslopavadinimas">
    <w:name w:val="Paveikslo pavadinimas"/>
    <w:basedOn w:val="Normal"/>
    <w:qFormat/>
    <w:rsid w:val="00B80B01"/>
    <w:pPr>
      <w:spacing w:line="240" w:lineRule="auto"/>
      <w:ind w:left="851" w:hanging="851"/>
    </w:pPr>
  </w:style>
  <w:style w:type="paragraph" w:customStyle="1" w:styleId="Lentelspavadinimas">
    <w:name w:val="Lentelės pavadinimas"/>
    <w:basedOn w:val="Caption"/>
    <w:qFormat/>
    <w:rsid w:val="00B80B01"/>
  </w:style>
  <w:style w:type="paragraph" w:customStyle="1" w:styleId="Textbody">
    <w:name w:val="Text body"/>
    <w:basedOn w:val="Standard"/>
    <w:rsid w:val="00B80B01"/>
  </w:style>
  <w:style w:type="paragraph" w:styleId="Bibliography">
    <w:name w:val="Bibliography"/>
    <w:basedOn w:val="Normal"/>
    <w:next w:val="Normal"/>
    <w:uiPriority w:val="37"/>
    <w:unhideWhenUsed/>
    <w:rsid w:val="003B5310"/>
    <w:pPr>
      <w:spacing w:after="120" w:line="240" w:lineRule="auto"/>
      <w:ind w:left="720" w:hanging="720"/>
      <w:contextualSpacing w:val="0"/>
      <w:jc w:val="left"/>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vytautas.petrauskas@bti.vu.lt?subject=D%C4%97l%20baigiamojo%20darbo%20LibreOffice%20%C5%A1ablono" TargetMode="External"/><Relationship Id="rId4" Type="http://schemas.openxmlformats.org/officeDocument/2006/relationships/settings" Target="settings.xml"/><Relationship Id="rId9" Type="http://schemas.openxmlformats.org/officeDocument/2006/relationships/hyperlink" Target="https://www.gmc.vu.lt/images/studentams/dokumentai/metodiniu_nurodymu_aprasas.pdf"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3DB21D-EA4B-42A6-BF2D-4F1C9871B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18</Pages>
  <Words>8464</Words>
  <Characters>48247</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56598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Vytautas Petrauskas</dc:creator>
  <cp:keywords/>
  <dc:description>Autorius: Vytautas Petrauskas</dc:description>
  <cp:lastModifiedBy>R201</cp:lastModifiedBy>
  <cp:revision>19</cp:revision>
  <cp:lastPrinted>2024-11-24T22:32:00Z</cp:lastPrinted>
  <dcterms:created xsi:type="dcterms:W3CDTF">2024-11-24T22:15:00Z</dcterms:created>
  <dcterms:modified xsi:type="dcterms:W3CDTF">2024-11-27T15:38:00Z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597cc2d5db3526e69c2e214c9b83b3a14fba17279d09d71921f6e1f5f76b8fdc</vt:lpwstr>
  </property>
  <property fmtid="{D5CDD505-2E9C-101B-9397-08002B2CF9AE}" pid="3" name="ZOTERO_PREF_1">
    <vt:lpwstr>&lt;data data-version="3" zotero-version="6.0.36"&gt;&lt;session id="JE5p4Sg6"/&gt;&lt;style id="http://www.zotero.org/styles/apa" locale="lt-LT" hasBibliography="1" bibliographyStyleHasBeenSet="1"/&gt;&lt;prefs&gt;&lt;pref name="fieldType" value="Field"/&gt;&lt;pref name="automaticJourn</vt:lpwstr>
  </property>
  <property fmtid="{D5CDD505-2E9C-101B-9397-08002B2CF9AE}" pid="4" name="ZOTERO_PREF_2">
    <vt:lpwstr>alAbbreviations" value="true"/&gt;&lt;/prefs&gt;&lt;/data&gt;</vt:lpwstr>
  </property>
</Properties>
</file>